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left"/>
        <w:rPr>
          <w:rFonts w:ascii="黑体" w:hAnsi="黑体" w:eastAsia="黑体"/>
          <w:bCs/>
          <w:sz w:val="32"/>
          <w:szCs w:val="32"/>
        </w:rPr>
      </w:pPr>
      <w:bookmarkStart w:id="0" w:name="_GoBack"/>
      <w:bookmarkEnd w:id="0"/>
      <w:r>
        <w:rPr>
          <w:rFonts w:hint="eastAsia" w:ascii="仿宋" w:hAnsi="仿宋" w:eastAsia="仿宋" w:cs="宋体"/>
          <w:kern w:val="0"/>
          <w:sz w:val="32"/>
          <w:szCs w:val="32"/>
          <w:lang w:val="en-US" w:eastAsia="zh-CN"/>
        </w:rPr>
        <w:t xml:space="preserve">  </w:t>
      </w:r>
      <w:r>
        <w:rPr>
          <w:rFonts w:hint="eastAsia" w:ascii="黑体" w:hAnsi="黑体" w:eastAsia="黑体"/>
          <w:bCs/>
          <w:sz w:val="32"/>
          <w:szCs w:val="32"/>
        </w:rPr>
        <w:t>附件</w:t>
      </w:r>
    </w:p>
    <w:p>
      <w:pPr>
        <w:adjustRightInd w:val="0"/>
        <w:snapToGrid w:val="0"/>
        <w:spacing w:line="408" w:lineRule="auto"/>
        <w:jc w:val="left"/>
        <w:rPr>
          <w:rFonts w:ascii="黑体" w:hAnsi="黑体" w:eastAsia="黑体"/>
          <w:bCs/>
          <w:sz w:val="32"/>
          <w:szCs w:val="32"/>
        </w:rPr>
      </w:pPr>
    </w:p>
    <w:p>
      <w:pPr>
        <w:adjustRightInd w:val="0"/>
        <w:snapToGrid w:val="0"/>
        <w:jc w:val="center"/>
        <w:rPr>
          <w:rFonts w:hint="eastAsia" w:ascii="方正小标宋_GBK" w:hAnsi="华文中宋" w:eastAsia="方正小标宋_GBK"/>
          <w:bCs/>
          <w:spacing w:val="30"/>
          <w:sz w:val="38"/>
          <w:szCs w:val="38"/>
        </w:rPr>
      </w:pPr>
      <w:r>
        <w:rPr>
          <w:rFonts w:hint="eastAsia" w:ascii="方正小标宋_GBK" w:hAnsi="华文中宋" w:eastAsia="方正小标宋_GBK"/>
          <w:bCs/>
          <w:spacing w:val="30"/>
          <w:sz w:val="38"/>
          <w:szCs w:val="38"/>
        </w:rPr>
        <w:t>建设用地土壤污染状况调查、风险评估、</w:t>
      </w:r>
    </w:p>
    <w:p>
      <w:pPr>
        <w:adjustRightInd w:val="0"/>
        <w:snapToGrid w:val="0"/>
        <w:jc w:val="center"/>
        <w:rPr>
          <w:rFonts w:hint="eastAsia" w:ascii="方正小标宋_GBK" w:hAnsi="华文中宋" w:eastAsia="方正小标宋_GBK"/>
          <w:bCs/>
          <w:sz w:val="38"/>
          <w:szCs w:val="38"/>
        </w:rPr>
      </w:pPr>
      <w:r>
        <w:rPr>
          <w:rFonts w:hint="eastAsia" w:ascii="方正小标宋_GBK" w:hAnsi="华文中宋" w:eastAsia="方正小标宋_GBK"/>
          <w:bCs/>
          <w:sz w:val="38"/>
          <w:szCs w:val="38"/>
        </w:rPr>
        <w:t>风险管控及修复效果评估报告评审指南</w:t>
      </w:r>
    </w:p>
    <w:p>
      <w:pPr>
        <w:adjustRightInd w:val="0"/>
        <w:snapToGrid w:val="0"/>
        <w:spacing w:before="192" w:beforeLines="80"/>
        <w:jc w:val="center"/>
        <w:rPr>
          <w:rFonts w:hint="eastAsia" w:ascii="楷体_GB2312" w:hAnsi="华文中宋" w:eastAsia="楷体_GB2312"/>
          <w:bCs/>
          <w:sz w:val="32"/>
          <w:szCs w:val="32"/>
        </w:rPr>
      </w:pPr>
      <w:r>
        <w:rPr>
          <w:rFonts w:hint="eastAsia" w:ascii="楷体_GB2312" w:hAnsi="华文中宋" w:eastAsia="楷体_GB2312"/>
          <w:bCs/>
          <w:sz w:val="32"/>
          <w:szCs w:val="32"/>
        </w:rPr>
        <w:t>（征求意见稿）</w:t>
      </w:r>
    </w:p>
    <w:p>
      <w:pPr>
        <w:adjustRightInd w:val="0"/>
        <w:snapToGrid w:val="0"/>
        <w:spacing w:line="408" w:lineRule="auto"/>
        <w:jc w:val="left"/>
        <w:rPr>
          <w:rFonts w:ascii="黑体" w:hAnsi="黑体" w:eastAsia="黑体"/>
          <w:sz w:val="32"/>
          <w:szCs w:val="32"/>
        </w:rPr>
      </w:pP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为贯彻落实《中华人民共和国土壤污染防治法》，指导和规范地方生态环境主管部门会同自然资源主管部门组织评审建设用地土壤污染状况调查报告、土壤污染风险评估报告、风险管控效果评估报告及修复效果评估报告，制定本指南。</w:t>
      </w:r>
    </w:p>
    <w:p>
      <w:pPr>
        <w:topLinePunct/>
        <w:adjustRightInd w:val="0"/>
        <w:snapToGrid w:val="0"/>
        <w:spacing w:line="348" w:lineRule="auto"/>
        <w:ind w:firstLine="600" w:firstLineChars="200"/>
        <w:rPr>
          <w:rFonts w:hint="eastAsia" w:ascii="黑体" w:hAnsi="黑体" w:eastAsia="黑体"/>
          <w:color w:val="000000"/>
          <w:sz w:val="30"/>
          <w:szCs w:val="30"/>
        </w:rPr>
      </w:pPr>
      <w:r>
        <w:rPr>
          <w:rFonts w:hint="eastAsia" w:ascii="黑体" w:hAnsi="黑体" w:eastAsia="黑体"/>
          <w:sz w:val="30"/>
          <w:szCs w:val="30"/>
        </w:rPr>
        <w:t>一、适用范围</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本指南适用于经土壤污染状况普查详查、监测、现场检查等方式，表明有土壤污染风险的建设用地地块，以及用途变更为住宅、公共管理、公共服务用地的地块的土壤污染状况调查、风险评估、效果评估等报告的评审工作。其他情形可参照执行。地方可结合实际制定细则。</w:t>
      </w:r>
    </w:p>
    <w:p>
      <w:pPr>
        <w:topLinePunct/>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二、组织评审机制</w:t>
      </w:r>
    </w:p>
    <w:p>
      <w:pPr>
        <w:topLinePunct/>
        <w:adjustRightInd w:val="0"/>
        <w:snapToGrid w:val="0"/>
        <w:spacing w:line="348" w:lineRule="auto"/>
        <w:ind w:firstLine="602" w:firstLineChars="200"/>
        <w:rPr>
          <w:rFonts w:hint="eastAsia" w:ascii="楷体_GB2312" w:hAnsi="Times New Roman" w:eastAsia="楷体_GB2312"/>
          <w:sz w:val="30"/>
          <w:szCs w:val="30"/>
        </w:rPr>
      </w:pPr>
      <w:r>
        <w:rPr>
          <w:rFonts w:hint="eastAsia" w:ascii="楷体_GB2312" w:hAnsi="Times New Roman" w:eastAsia="楷体_GB2312"/>
          <w:b/>
          <w:sz w:val="30"/>
          <w:szCs w:val="30"/>
        </w:rPr>
        <w:t>（一）组织评审部门</w:t>
      </w:r>
    </w:p>
    <w:p>
      <w:pPr>
        <w:topLinePunct/>
        <w:adjustRightInd w:val="0"/>
        <w:snapToGrid w:val="0"/>
        <w:spacing w:line="348" w:lineRule="auto"/>
        <w:ind w:firstLine="600" w:firstLineChars="200"/>
        <w:rPr>
          <w:rFonts w:hint="eastAsia" w:ascii="仿宋_GB2312" w:hAnsi="Times New Roman" w:eastAsia="仿宋_GB2312"/>
          <w:b/>
          <w:kern w:val="0"/>
          <w:sz w:val="30"/>
          <w:szCs w:val="30"/>
        </w:rPr>
      </w:pPr>
      <w:r>
        <w:rPr>
          <w:rFonts w:hint="eastAsia" w:ascii="仿宋_GB2312" w:hAnsi="Times New Roman" w:eastAsia="仿宋_GB2312"/>
          <w:sz w:val="30"/>
          <w:szCs w:val="30"/>
        </w:rPr>
        <w:t>建设用地土壤污染状况调查报告，由设区的市级以上地方生态环境主管部门会同自然资源主管部门组织评审。直辖市可由县级以上地方人民政府相关部门组织评审。</w:t>
      </w:r>
    </w:p>
    <w:p>
      <w:pPr>
        <w:topLinePunct/>
        <w:adjustRightInd w:val="0"/>
        <w:snapToGrid w:val="0"/>
        <w:spacing w:line="348" w:lineRule="auto"/>
        <w:ind w:firstLine="560" w:firstLineChars="200"/>
        <w:rPr>
          <w:rFonts w:hint="eastAsia" w:ascii="仿宋_GB2312" w:hAnsi="Times New Roman" w:eastAsia="仿宋_GB2312"/>
          <w:spacing w:val="-10"/>
          <w:sz w:val="30"/>
          <w:szCs w:val="30"/>
        </w:rPr>
      </w:pPr>
      <w:r>
        <w:rPr>
          <w:rFonts w:hint="eastAsia" w:ascii="仿宋_GB2312" w:hAnsi="Times New Roman" w:eastAsia="仿宋_GB2312"/>
          <w:spacing w:val="-10"/>
          <w:sz w:val="30"/>
          <w:szCs w:val="30"/>
        </w:rPr>
        <w:t>建设用地土壤污染风险评估报告、风险管控效果评估报告、修复效果评估报告，由省级生态环境主管部门会同自然资源等主管部门组织评审。</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（二）组织评审方式</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生态环境主管部门会同自然资源等主管部门（以下简称组织评审部门）应当本着科学、合理、高效的原则，组织开展评审工作。可以因地制宜，采取以下方式组织评审。</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1.组织专家评审；或</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2.指定或委托第三方专业机构组织评审；或</w:t>
      </w:r>
    </w:p>
    <w:p>
      <w:pPr>
        <w:topLinePunct/>
        <w:adjustRightInd w:val="0"/>
        <w:snapToGrid w:val="0"/>
        <w:spacing w:line="348" w:lineRule="auto"/>
        <w:ind w:firstLine="600" w:firstLineChars="200"/>
        <w:rPr>
          <w:rFonts w:hint="eastAsia" w:ascii="仿宋_GB2312" w:hAnsi="Times New Roman" w:eastAsia="仿宋_GB2312"/>
          <w:spacing w:val="-6"/>
          <w:sz w:val="30"/>
          <w:szCs w:val="30"/>
        </w:rPr>
      </w:pPr>
      <w:r>
        <w:rPr>
          <w:rFonts w:hint="eastAsia" w:ascii="仿宋_GB2312" w:hAnsi="Times New Roman" w:eastAsia="仿宋_GB2312"/>
          <w:sz w:val="30"/>
          <w:szCs w:val="30"/>
        </w:rPr>
        <w:t>3.</w:t>
      </w:r>
      <w:r>
        <w:rPr>
          <w:rFonts w:hint="eastAsia" w:ascii="仿宋_GB2312" w:hAnsi="Times New Roman" w:eastAsia="仿宋_GB2312"/>
          <w:spacing w:val="-6"/>
          <w:sz w:val="30"/>
          <w:szCs w:val="30"/>
        </w:rPr>
        <w:t>省级生态环境主管部门会同自然资源主管部门认可的其他方式。</w:t>
      </w:r>
    </w:p>
    <w:p>
      <w:pPr>
        <w:pStyle w:val="6"/>
        <w:widowControl w:val="0"/>
        <w:shd w:val="clear" w:color="auto" w:fill="FFFFFF"/>
        <w:topLinePunct/>
        <w:adjustRightInd w:val="0"/>
        <w:snapToGrid w:val="0"/>
        <w:spacing w:before="0" w:beforeAutospacing="0" w:after="0" w:afterAutospacing="0" w:line="348" w:lineRule="auto"/>
        <w:ind w:firstLine="602" w:firstLineChars="200"/>
        <w:jc w:val="both"/>
        <w:rPr>
          <w:rFonts w:hint="eastAsia" w:ascii="仿宋_GB2312" w:hAnsi="Times New Roman" w:eastAsia="仿宋_GB2312" w:cs="Times New Roman"/>
          <w:b/>
          <w:sz w:val="30"/>
          <w:szCs w:val="30"/>
        </w:rPr>
      </w:pPr>
      <w:r>
        <w:rPr>
          <w:rFonts w:hint="eastAsia" w:ascii="仿宋_GB2312" w:hAnsi="Times New Roman" w:eastAsia="仿宋_GB2312" w:cs="Times New Roman"/>
          <w:b/>
          <w:sz w:val="30"/>
          <w:szCs w:val="30"/>
        </w:rPr>
        <w:t>（三）组织评审的经费</w:t>
      </w:r>
    </w:p>
    <w:p>
      <w:pPr>
        <w:topLinePunct/>
        <w:adjustRightInd w:val="0"/>
        <w:snapToGrid w:val="0"/>
        <w:spacing w:line="348" w:lineRule="auto"/>
        <w:ind w:firstLine="600" w:firstLineChars="200"/>
        <w:rPr>
          <w:rStyle w:val="10"/>
          <w:rFonts w:hint="eastAsia" w:ascii="仿宋_GB2312" w:hAnsi="Times New Roman" w:eastAsia="仿宋_GB2312"/>
          <w:b w:val="0"/>
          <w:bCs w:val="0"/>
          <w:color w:val="000000"/>
          <w:kern w:val="0"/>
          <w:sz w:val="30"/>
          <w:szCs w:val="30"/>
        </w:rPr>
      </w:pPr>
      <w:r>
        <w:rPr>
          <w:rFonts w:hint="eastAsia" w:ascii="仿宋_GB2312" w:hAnsi="Times New Roman" w:eastAsia="仿宋_GB2312"/>
          <w:sz w:val="30"/>
          <w:szCs w:val="30"/>
        </w:rPr>
        <w:t>组织评审的经费应当分别列入生态环境主管部门和自然资源主管部门预算。</w:t>
      </w:r>
    </w:p>
    <w:p>
      <w:pPr>
        <w:topLinePunct/>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三、评审依据及有关原则</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（一）依据</w:t>
      </w:r>
    </w:p>
    <w:p>
      <w:pPr>
        <w:topLinePunct/>
        <w:adjustRightInd w:val="0"/>
        <w:snapToGrid w:val="0"/>
        <w:spacing w:line="348" w:lineRule="auto"/>
        <w:ind w:firstLine="602" w:firstLineChars="200"/>
        <w:rPr>
          <w:rFonts w:hint="eastAsia" w:ascii="仿宋_GB2312" w:hAnsi="Times New Roman" w:eastAsia="仿宋_GB2312"/>
          <w:sz w:val="30"/>
          <w:szCs w:val="30"/>
        </w:rPr>
      </w:pPr>
      <w:r>
        <w:rPr>
          <w:rFonts w:hint="eastAsia" w:ascii="仿宋_GB2312" w:hAnsi="Times New Roman" w:eastAsia="仿宋_GB2312"/>
          <w:b/>
          <w:kern w:val="0"/>
          <w:sz w:val="30"/>
          <w:szCs w:val="30"/>
        </w:rPr>
        <w:t>主要是国家和地方相关法律法规、标准规范。</w:t>
      </w:r>
      <w:r>
        <w:rPr>
          <w:rFonts w:hint="eastAsia" w:ascii="仿宋_GB2312" w:hAnsi="Times New Roman" w:eastAsia="仿宋_GB2312"/>
          <w:sz w:val="30"/>
          <w:szCs w:val="30"/>
        </w:rPr>
        <w:t>包括但不限于：《中华人民共和国土壤污染防治法》《污染地块土壤环境管理办法（试行）》《工矿用地土壤环境管理办法（试行）》《土壤环境质量 建设用地土壤污染风险管控标准（试行）》《地下水质量标准》《场地环境调查技术导则》《场地环境监测技术导则》《污染场地风险评估技术导则》《污染场地土壤修复技术导则》《污染地块地下水修复和风险管控技术导则》《污染地块风险管控与土壤修复效果评估技术导则》《地块土壤和地下水中挥发性有机物采样技术导则》《工业企业场地环境调查评估与修复工作指南（试行）》《建设用地土壤环境调查评估技术指南》等。</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国家和地方相关法律法规、标准规范等未明确规定的内容，专家依据专业知识判定。</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生态环境主管部门对相关土壤污染风险管控和修复活动开展环境监管和环境监测的相关记录，可作为评审依据。</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（二）有关原则</w:t>
      </w:r>
    </w:p>
    <w:p>
      <w:pPr>
        <w:topLinePunct/>
        <w:adjustRightInd w:val="0"/>
        <w:snapToGrid w:val="0"/>
        <w:spacing w:line="348" w:lineRule="auto"/>
        <w:ind w:firstLine="602" w:firstLineChars="200"/>
        <w:rPr>
          <w:rFonts w:hint="eastAsia" w:ascii="仿宋_GB2312" w:hAnsi="Times New Roman" w:eastAsia="仿宋_GB2312"/>
          <w:b/>
          <w:sz w:val="30"/>
          <w:szCs w:val="30"/>
        </w:rPr>
      </w:pPr>
      <w:r>
        <w:rPr>
          <w:rFonts w:hint="eastAsia" w:ascii="仿宋_GB2312" w:hAnsi="Times New Roman" w:eastAsia="仿宋_GB2312"/>
          <w:b/>
          <w:sz w:val="30"/>
          <w:szCs w:val="30"/>
        </w:rPr>
        <w:t>1.整体性原则</w:t>
      </w:r>
    </w:p>
    <w:p>
      <w:pPr>
        <w:topLinePunct/>
        <w:adjustRightInd w:val="0"/>
        <w:snapToGrid w:val="0"/>
        <w:spacing w:line="348" w:lineRule="auto"/>
        <w:ind w:firstLine="584" w:firstLineChars="200"/>
        <w:rPr>
          <w:rFonts w:hint="eastAsia" w:ascii="仿宋_GB2312" w:hAnsi="Times New Roman" w:eastAsia="仿宋_GB2312"/>
          <w:spacing w:val="-4"/>
          <w:sz w:val="30"/>
          <w:szCs w:val="30"/>
        </w:rPr>
      </w:pPr>
      <w:r>
        <w:rPr>
          <w:rFonts w:hint="eastAsia" w:ascii="仿宋_GB2312" w:hAnsi="Times New Roman" w:eastAsia="仿宋_GB2312"/>
          <w:spacing w:val="-4"/>
          <w:sz w:val="30"/>
          <w:szCs w:val="30"/>
        </w:rPr>
        <w:t>建设用地土壤污染防治是长流程管理，涉及土壤污染状况调查、风险评估、风险管控及修复、效果评估等环节，后一环节工作往往需要以前一环节工作为基础和依据。各环节工作又涉及多个步骤，同样是环环相扣，某个步骤的失误和不规范，均可能导致结论出现错误。因此，</w:t>
      </w:r>
      <w:r>
        <w:rPr>
          <w:rFonts w:hint="eastAsia" w:ascii="仿宋_GB2312" w:hAnsi="Times New Roman" w:eastAsia="仿宋_GB2312"/>
          <w:b/>
          <w:spacing w:val="-4"/>
          <w:sz w:val="30"/>
          <w:szCs w:val="30"/>
        </w:rPr>
        <w:t>要从整体上把握，而不是孤立审查本环节的报告，</w:t>
      </w:r>
      <w:r>
        <w:rPr>
          <w:rFonts w:hint="eastAsia" w:ascii="仿宋_GB2312" w:hAnsi="Times New Roman" w:eastAsia="仿宋_GB2312"/>
          <w:spacing w:val="-4"/>
          <w:sz w:val="30"/>
          <w:szCs w:val="30"/>
        </w:rPr>
        <w:t>必要时，可以对前一环节报告是否能够满足本环节工作的要求进行评审。如：评审风险评估报告时，应当对土壤污染状况调查的数据是否能够满足风险评估的要求进行评审，对数据不满足要求的应该开展补充调查。</w:t>
      </w:r>
    </w:p>
    <w:p>
      <w:pPr>
        <w:topLinePunct/>
        <w:adjustRightInd w:val="0"/>
        <w:snapToGrid w:val="0"/>
        <w:spacing w:line="348" w:lineRule="auto"/>
        <w:ind w:firstLine="602" w:firstLineChars="200"/>
        <w:rPr>
          <w:rFonts w:hint="eastAsia" w:ascii="仿宋_GB2312" w:hAnsi="Times New Roman" w:eastAsia="仿宋_GB2312"/>
          <w:b/>
          <w:sz w:val="30"/>
          <w:szCs w:val="30"/>
        </w:rPr>
      </w:pPr>
      <w:r>
        <w:rPr>
          <w:rFonts w:hint="eastAsia" w:ascii="仿宋_GB2312" w:hAnsi="Times New Roman" w:eastAsia="仿宋_GB2312"/>
          <w:b/>
          <w:sz w:val="30"/>
          <w:szCs w:val="30"/>
        </w:rPr>
        <w:t>2.实事求是原则</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土壤污染具有复杂性和隐蔽性，土壤污染风险管控和修复具有不确定性。风险管控、修复、效果评估等后续环节工作的实施过程中可能发现未调查出的、未风险管控的或者未修复的污染（包括污染物或者污染区域），组织评审的部门既要注意强化相关环节工作质量监督，落实从业机构和人员对报告真实性、准确性、完整性的责任，又要做到实事求是，健全尽职免责机制。</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（三）相关报告的重新评审</w:t>
      </w:r>
    </w:p>
    <w:p>
      <w:pPr>
        <w:pStyle w:val="6"/>
        <w:widowControl w:val="0"/>
        <w:shd w:val="clear" w:color="auto" w:fill="FFFFFF"/>
        <w:topLinePunct/>
        <w:adjustRightInd w:val="0"/>
        <w:snapToGrid w:val="0"/>
        <w:spacing w:before="0" w:beforeAutospacing="0" w:after="0" w:afterAutospacing="0" w:line="348" w:lineRule="auto"/>
        <w:ind w:firstLine="602" w:firstLineChars="200"/>
        <w:jc w:val="both"/>
        <w:rPr>
          <w:rFonts w:hint="eastAsia" w:ascii="仿宋_GB2312" w:hAnsi="Times New Roman" w:eastAsia="仿宋_GB2312" w:cs="Times New Roman"/>
          <w:b/>
          <w:sz w:val="30"/>
          <w:szCs w:val="30"/>
        </w:rPr>
      </w:pPr>
      <w:r>
        <w:rPr>
          <w:rFonts w:hint="eastAsia" w:ascii="仿宋_GB2312" w:hAnsi="Times New Roman" w:eastAsia="仿宋_GB2312" w:cs="Times New Roman"/>
          <w:b/>
          <w:sz w:val="30"/>
          <w:szCs w:val="30"/>
        </w:rPr>
        <w:t>1.土壤污染状况调查报告</w:t>
      </w:r>
    </w:p>
    <w:p>
      <w:pPr>
        <w:pStyle w:val="6"/>
        <w:widowControl w:val="0"/>
        <w:shd w:val="clear" w:color="auto" w:fill="FFFFFF"/>
        <w:topLinePunct/>
        <w:adjustRightInd w:val="0"/>
        <w:snapToGrid w:val="0"/>
        <w:spacing w:before="0" w:beforeAutospacing="0" w:after="0" w:afterAutospacing="0" w:line="348" w:lineRule="auto"/>
        <w:ind w:firstLine="600" w:firstLineChars="200"/>
        <w:jc w:val="both"/>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土壤污染状况调查报告通过评审后，发现存在未查明的污染（包括污染物或污染区域），组织评审的部门可要求补充开展土壤污染状况调查并重新评审。</w:t>
      </w:r>
    </w:p>
    <w:p>
      <w:pPr>
        <w:pStyle w:val="6"/>
        <w:widowControl w:val="0"/>
        <w:shd w:val="clear" w:color="auto" w:fill="FFFFFF"/>
        <w:topLinePunct/>
        <w:adjustRightInd w:val="0"/>
        <w:snapToGrid w:val="0"/>
        <w:spacing w:before="0" w:beforeAutospacing="0" w:after="0" w:afterAutospacing="0" w:line="360" w:lineRule="auto"/>
        <w:ind w:firstLine="602" w:firstLineChars="200"/>
        <w:jc w:val="both"/>
        <w:rPr>
          <w:rFonts w:hint="eastAsia" w:ascii="仿宋_GB2312" w:hAnsi="Times New Roman" w:eastAsia="仿宋_GB2312" w:cs="Times New Roman"/>
          <w:b/>
          <w:sz w:val="30"/>
          <w:szCs w:val="30"/>
        </w:rPr>
      </w:pPr>
      <w:r>
        <w:rPr>
          <w:rFonts w:hint="eastAsia" w:ascii="仿宋_GB2312" w:hAnsi="Times New Roman" w:eastAsia="仿宋_GB2312" w:cs="Times New Roman"/>
          <w:b/>
          <w:sz w:val="30"/>
          <w:szCs w:val="30"/>
        </w:rPr>
        <w:t>2.土壤污染状况风险评估报告</w:t>
      </w:r>
    </w:p>
    <w:p>
      <w:pPr>
        <w:topLinePunct/>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土壤污染状况风险评估报告评审通过后，</w:t>
      </w:r>
      <w:r>
        <w:rPr>
          <w:rFonts w:hint="eastAsia" w:ascii="仿宋_GB2312" w:hAnsi="Times New Roman" w:eastAsia="仿宋_GB2312"/>
          <w:kern w:val="0"/>
          <w:sz w:val="30"/>
          <w:szCs w:val="30"/>
        </w:rPr>
        <w:t>采取风险管控措施或</w:t>
      </w:r>
      <w:r>
        <w:rPr>
          <w:rFonts w:hint="eastAsia" w:ascii="仿宋_GB2312" w:hAnsi="Times New Roman" w:eastAsia="仿宋_GB2312"/>
          <w:sz w:val="30"/>
          <w:szCs w:val="30"/>
        </w:rPr>
        <w:t>编制</w:t>
      </w:r>
      <w:r>
        <w:rPr>
          <w:rFonts w:hint="eastAsia" w:ascii="仿宋_GB2312" w:hAnsi="Times New Roman" w:eastAsia="仿宋_GB2312"/>
          <w:kern w:val="0"/>
          <w:sz w:val="30"/>
          <w:szCs w:val="30"/>
        </w:rPr>
        <w:t>修复方案时，变更风险评估报告中确定的相关风险管控、修复目标的，以及</w:t>
      </w:r>
      <w:r>
        <w:rPr>
          <w:rFonts w:hint="eastAsia" w:ascii="仿宋_GB2312" w:hAnsi="Times New Roman" w:eastAsia="仿宋_GB2312"/>
          <w:sz w:val="30"/>
          <w:szCs w:val="30"/>
        </w:rPr>
        <w:t>土壤污染状况调查报告重新评审的，</w:t>
      </w:r>
      <w:r>
        <w:rPr>
          <w:rFonts w:hint="eastAsia" w:ascii="仿宋_GB2312" w:hAnsi="Times New Roman" w:eastAsia="仿宋_GB2312"/>
          <w:kern w:val="0"/>
          <w:sz w:val="30"/>
          <w:szCs w:val="30"/>
        </w:rPr>
        <w:t>申请人应当重新申请</w:t>
      </w:r>
      <w:r>
        <w:rPr>
          <w:rFonts w:hint="eastAsia" w:ascii="仿宋_GB2312" w:hAnsi="Times New Roman" w:eastAsia="仿宋_GB2312"/>
          <w:sz w:val="30"/>
          <w:szCs w:val="30"/>
        </w:rPr>
        <w:t>对</w:t>
      </w:r>
      <w:r>
        <w:rPr>
          <w:rFonts w:hint="eastAsia" w:ascii="仿宋_GB2312" w:hAnsi="Times New Roman" w:eastAsia="仿宋_GB2312"/>
          <w:kern w:val="0"/>
          <w:sz w:val="30"/>
          <w:szCs w:val="30"/>
        </w:rPr>
        <w:t>风险评估报告进行评审</w:t>
      </w:r>
      <w:r>
        <w:rPr>
          <w:rFonts w:hint="eastAsia" w:ascii="仿宋_GB2312" w:hAnsi="Times New Roman" w:eastAsia="仿宋_GB2312"/>
          <w:sz w:val="30"/>
          <w:szCs w:val="30"/>
        </w:rPr>
        <w:t>。</w:t>
      </w:r>
    </w:p>
    <w:p>
      <w:pPr>
        <w:topLinePunct/>
        <w:adjustRightInd w:val="0"/>
        <w:snapToGrid w:val="0"/>
        <w:spacing w:line="360" w:lineRule="auto"/>
        <w:ind w:firstLine="600" w:firstLineChars="200"/>
        <w:rPr>
          <w:rFonts w:hint="eastAsia" w:ascii="黑体" w:hAnsi="黑体" w:eastAsia="黑体"/>
          <w:sz w:val="30"/>
          <w:szCs w:val="30"/>
        </w:rPr>
      </w:pPr>
      <w:r>
        <w:rPr>
          <w:rFonts w:hint="eastAsia" w:ascii="黑体" w:hAnsi="黑体" w:eastAsia="黑体"/>
          <w:sz w:val="30"/>
          <w:szCs w:val="30"/>
        </w:rPr>
        <w:t>四、评审程序及时限</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（一）申请</w:t>
      </w:r>
    </w:p>
    <w:p>
      <w:pPr>
        <w:shd w:val="clear" w:color="auto" w:fill="FFFFFF"/>
        <w:topLinePunct/>
        <w:adjustRightInd w:val="0"/>
        <w:snapToGrid w:val="0"/>
        <w:spacing w:line="360" w:lineRule="auto"/>
        <w:ind w:firstLine="602" w:firstLineChars="200"/>
        <w:rPr>
          <w:rFonts w:hint="eastAsia" w:ascii="仿宋_GB2312" w:hAnsi="Times New Roman" w:eastAsia="仿宋_GB2312"/>
          <w:b/>
          <w:kern w:val="0"/>
          <w:sz w:val="30"/>
          <w:szCs w:val="30"/>
        </w:rPr>
      </w:pPr>
      <w:r>
        <w:rPr>
          <w:rFonts w:hint="eastAsia" w:ascii="仿宋_GB2312" w:hAnsi="Times New Roman" w:eastAsia="仿宋_GB2312"/>
          <w:b/>
          <w:kern w:val="0"/>
          <w:sz w:val="30"/>
          <w:szCs w:val="30"/>
        </w:rPr>
        <w:t>1.申请人</w:t>
      </w:r>
    </w:p>
    <w:p>
      <w:pPr>
        <w:shd w:val="clear" w:color="auto" w:fill="FFFFFF"/>
        <w:topLinePunct/>
        <w:adjustRightInd w:val="0"/>
        <w:snapToGrid w:val="0"/>
        <w:spacing w:line="360" w:lineRule="auto"/>
        <w:ind w:firstLine="600" w:firstLineChars="200"/>
        <w:rPr>
          <w:rFonts w:hint="eastAsia" w:ascii="仿宋_GB2312" w:hAnsi="Times New Roman" w:eastAsia="仿宋_GB2312"/>
          <w:kern w:val="0"/>
          <w:sz w:val="30"/>
          <w:szCs w:val="30"/>
        </w:rPr>
      </w:pPr>
      <w:r>
        <w:rPr>
          <w:rFonts w:hint="eastAsia" w:ascii="仿宋_GB2312" w:hAnsi="Times New Roman" w:eastAsia="仿宋_GB2312"/>
          <w:bCs/>
          <w:sz w:val="30"/>
          <w:szCs w:val="30"/>
        </w:rPr>
        <w:t>（</w:t>
      </w:r>
      <w:r>
        <w:rPr>
          <w:rFonts w:hint="eastAsia" w:ascii="仿宋_GB2312" w:hAnsi="Times New Roman" w:eastAsia="仿宋_GB2312"/>
          <w:kern w:val="0"/>
          <w:sz w:val="30"/>
          <w:szCs w:val="30"/>
        </w:rPr>
        <w:t>1）按照规定进行土壤污染状况调查的土地使用权人；</w:t>
      </w:r>
    </w:p>
    <w:p>
      <w:pPr>
        <w:shd w:val="clear" w:color="auto" w:fill="FFFFFF"/>
        <w:topLinePunct/>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bCs/>
          <w:sz w:val="30"/>
          <w:szCs w:val="30"/>
        </w:rPr>
        <w:t>（</w:t>
      </w:r>
      <w:r>
        <w:rPr>
          <w:rFonts w:hint="eastAsia" w:ascii="仿宋_GB2312" w:hAnsi="Times New Roman" w:eastAsia="仿宋_GB2312"/>
          <w:kern w:val="0"/>
          <w:sz w:val="30"/>
          <w:szCs w:val="30"/>
        </w:rPr>
        <w:t>2）按照国务院生态环境主管部门的规定进行土壤污染风险评估的土壤污染责任人、土地使用权人；</w:t>
      </w:r>
    </w:p>
    <w:p>
      <w:pPr>
        <w:shd w:val="clear" w:color="auto" w:fill="FFFFFF"/>
        <w:topLinePunct/>
        <w:adjustRightInd w:val="0"/>
        <w:snapToGrid w:val="0"/>
        <w:spacing w:line="360" w:lineRule="auto"/>
        <w:ind w:firstLine="600" w:firstLineChars="200"/>
        <w:rPr>
          <w:rFonts w:hint="eastAsia" w:ascii="仿宋_GB2312" w:hAnsi="Times New Roman" w:eastAsia="仿宋_GB2312"/>
          <w:kern w:val="0"/>
          <w:sz w:val="30"/>
          <w:szCs w:val="30"/>
        </w:rPr>
      </w:pPr>
      <w:r>
        <w:rPr>
          <w:rFonts w:hint="eastAsia" w:ascii="仿宋_GB2312" w:hAnsi="Times New Roman" w:eastAsia="仿宋_GB2312"/>
          <w:bCs/>
          <w:sz w:val="30"/>
          <w:szCs w:val="30"/>
        </w:rPr>
        <w:t>（</w:t>
      </w:r>
      <w:r>
        <w:rPr>
          <w:rFonts w:hint="eastAsia" w:ascii="仿宋_GB2312" w:hAnsi="Times New Roman" w:eastAsia="仿宋_GB2312"/>
          <w:kern w:val="0"/>
          <w:sz w:val="30"/>
          <w:szCs w:val="30"/>
        </w:rPr>
        <w:t>3）达到土壤污染风险评估</w:t>
      </w:r>
      <w:r>
        <w:rPr>
          <w:rFonts w:hint="eastAsia" w:ascii="仿宋_GB2312" w:hAnsi="Times New Roman" w:eastAsia="仿宋_GB2312"/>
          <w:sz w:val="30"/>
          <w:szCs w:val="30"/>
        </w:rPr>
        <w:t>报告确定的风险管控、修复目标且可以安全利用的</w:t>
      </w:r>
      <w:r>
        <w:rPr>
          <w:rFonts w:hint="eastAsia" w:ascii="仿宋_GB2312" w:hAnsi="Times New Roman" w:eastAsia="仿宋_GB2312"/>
          <w:kern w:val="0"/>
          <w:sz w:val="30"/>
          <w:szCs w:val="30"/>
        </w:rPr>
        <w:t>建设用地地块的土壤污染责任人、土地使用权人；</w:t>
      </w:r>
    </w:p>
    <w:p>
      <w:pPr>
        <w:topLinePunct/>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bCs/>
          <w:sz w:val="30"/>
          <w:szCs w:val="30"/>
        </w:rPr>
        <w:t>（</w:t>
      </w:r>
      <w:r>
        <w:rPr>
          <w:rFonts w:hint="eastAsia" w:ascii="仿宋_GB2312" w:hAnsi="Times New Roman" w:eastAsia="仿宋_GB2312"/>
          <w:sz w:val="30"/>
          <w:szCs w:val="30"/>
        </w:rPr>
        <w:t>4）依法组织实施土壤污染风险管控和修复的地方人民政府以及有关部门和单位。</w:t>
      </w:r>
    </w:p>
    <w:p>
      <w:pPr>
        <w:shd w:val="clear" w:color="auto" w:fill="FFFFFF"/>
        <w:topLinePunct/>
        <w:adjustRightInd w:val="0"/>
        <w:snapToGrid w:val="0"/>
        <w:spacing w:line="360" w:lineRule="auto"/>
        <w:ind w:firstLine="602" w:firstLineChars="200"/>
        <w:rPr>
          <w:rFonts w:hint="eastAsia" w:ascii="仿宋_GB2312" w:hAnsi="Times New Roman" w:eastAsia="仿宋_GB2312"/>
          <w:b/>
          <w:kern w:val="0"/>
          <w:sz w:val="30"/>
          <w:szCs w:val="30"/>
        </w:rPr>
      </w:pPr>
      <w:r>
        <w:rPr>
          <w:rFonts w:hint="eastAsia" w:ascii="仿宋_GB2312" w:hAnsi="Times New Roman" w:eastAsia="仿宋_GB2312"/>
          <w:b/>
          <w:kern w:val="0"/>
          <w:sz w:val="30"/>
          <w:szCs w:val="30"/>
        </w:rPr>
        <w:t>2.申请材料</w:t>
      </w:r>
    </w:p>
    <w:p>
      <w:pPr>
        <w:topLinePunct/>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申请人提出申请时，应提交以下材料，并对材料真实性负责：</w:t>
      </w:r>
    </w:p>
    <w:p>
      <w:pPr>
        <w:topLinePunct/>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bCs/>
          <w:sz w:val="30"/>
          <w:szCs w:val="30"/>
        </w:rPr>
        <w:t>（</w:t>
      </w:r>
      <w:r>
        <w:rPr>
          <w:rFonts w:hint="eastAsia" w:ascii="仿宋_GB2312" w:hAnsi="Times New Roman" w:eastAsia="仿宋_GB2312"/>
          <w:sz w:val="30"/>
          <w:szCs w:val="30"/>
        </w:rPr>
        <w:t>1）建设用地土壤污染状况调查、风险评估、风险管控及修复效果评估报告评审申请表（可参考附1）；</w:t>
      </w:r>
    </w:p>
    <w:p>
      <w:pPr>
        <w:topLinePunct/>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bCs/>
          <w:sz w:val="30"/>
          <w:szCs w:val="30"/>
        </w:rPr>
        <w:t>（</w:t>
      </w:r>
      <w:r>
        <w:rPr>
          <w:rFonts w:hint="eastAsia" w:ascii="仿宋_GB2312" w:hAnsi="Times New Roman" w:eastAsia="仿宋_GB2312"/>
          <w:sz w:val="30"/>
          <w:szCs w:val="30"/>
        </w:rPr>
        <w:t>2）</w:t>
      </w:r>
      <w:r>
        <w:rPr>
          <w:rFonts w:hint="eastAsia" w:ascii="仿宋_GB2312" w:hAnsi="Times New Roman" w:eastAsia="仿宋_GB2312"/>
          <w:b/>
          <w:sz w:val="30"/>
          <w:szCs w:val="30"/>
        </w:rPr>
        <w:t>申请评审土壤污染状况调查报告的：</w:t>
      </w:r>
      <w:r>
        <w:rPr>
          <w:rFonts w:hint="eastAsia" w:ascii="仿宋_GB2312" w:hAnsi="Times New Roman" w:eastAsia="仿宋_GB2312"/>
          <w:sz w:val="30"/>
          <w:szCs w:val="30"/>
        </w:rPr>
        <w:t>用于评审的土壤污染状况调查报告及相关检测报告、水文地质调查报告；</w:t>
      </w:r>
    </w:p>
    <w:p>
      <w:pPr>
        <w:topLinePunct/>
        <w:adjustRightInd w:val="0"/>
        <w:snapToGrid w:val="0"/>
        <w:spacing w:line="348" w:lineRule="auto"/>
        <w:ind w:firstLine="602" w:firstLineChars="200"/>
        <w:rPr>
          <w:rFonts w:hint="eastAsia" w:ascii="仿宋_GB2312" w:hAnsi="Times New Roman" w:eastAsia="仿宋_GB2312"/>
          <w:sz w:val="30"/>
          <w:szCs w:val="30"/>
        </w:rPr>
      </w:pPr>
      <w:r>
        <w:rPr>
          <w:rFonts w:hint="eastAsia" w:ascii="仿宋_GB2312" w:hAnsi="Times New Roman" w:eastAsia="仿宋_GB2312"/>
          <w:b/>
          <w:sz w:val="30"/>
          <w:szCs w:val="30"/>
        </w:rPr>
        <w:t>申请评审土壤污染状况风险评估报告的：</w:t>
      </w:r>
      <w:r>
        <w:rPr>
          <w:rFonts w:hint="eastAsia" w:ascii="仿宋_GB2312" w:hAnsi="Times New Roman" w:eastAsia="仿宋_GB2312"/>
          <w:sz w:val="30"/>
          <w:szCs w:val="30"/>
        </w:rPr>
        <w:t>用于评审的土壤污染风险评估报告；</w:t>
      </w:r>
    </w:p>
    <w:p>
      <w:pPr>
        <w:topLinePunct/>
        <w:adjustRightInd w:val="0"/>
        <w:snapToGrid w:val="0"/>
        <w:spacing w:line="348" w:lineRule="auto"/>
        <w:ind w:firstLine="602" w:firstLineChars="200"/>
        <w:rPr>
          <w:rFonts w:hint="eastAsia" w:ascii="仿宋_GB2312" w:hAnsi="Times New Roman" w:eastAsia="仿宋_GB2312"/>
          <w:sz w:val="30"/>
          <w:szCs w:val="30"/>
        </w:rPr>
      </w:pPr>
      <w:r>
        <w:rPr>
          <w:rFonts w:hint="eastAsia" w:ascii="仿宋_GB2312" w:hAnsi="Times New Roman" w:eastAsia="仿宋_GB2312"/>
          <w:b/>
          <w:sz w:val="30"/>
          <w:szCs w:val="30"/>
        </w:rPr>
        <w:t>申请评审风险管控效果评估报告、修复效果评估报告的：</w:t>
      </w:r>
      <w:r>
        <w:rPr>
          <w:rFonts w:hint="eastAsia" w:ascii="仿宋_GB2312" w:hAnsi="Times New Roman" w:eastAsia="仿宋_GB2312"/>
          <w:sz w:val="30"/>
          <w:szCs w:val="30"/>
        </w:rPr>
        <w:t>用于评审的土壤污染风险管控效果评估报告、修复效果评估报告，相关检测报告，风险管控/修复方案，风险管控/修复施工方案，施工过程中的相关资料。</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bCs/>
          <w:sz w:val="30"/>
          <w:szCs w:val="30"/>
        </w:rPr>
        <w:t>（</w:t>
      </w:r>
      <w:r>
        <w:rPr>
          <w:rFonts w:hint="eastAsia" w:ascii="仿宋_GB2312" w:hAnsi="Times New Roman" w:eastAsia="仿宋_GB2312"/>
          <w:sz w:val="30"/>
          <w:szCs w:val="30"/>
        </w:rPr>
        <w:t>3）申请人及报告出具单位承诺书（见附2、3）。</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bCs/>
          <w:sz w:val="30"/>
          <w:szCs w:val="30"/>
        </w:rPr>
        <w:t>（</w:t>
      </w:r>
      <w:r>
        <w:rPr>
          <w:rFonts w:hint="eastAsia" w:ascii="仿宋_GB2312" w:hAnsi="Times New Roman" w:eastAsia="仿宋_GB2312"/>
          <w:sz w:val="30"/>
          <w:szCs w:val="30"/>
        </w:rPr>
        <w:t>4）生态环境主管部门、自然资源主管部门规定的其他相关资料。</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（二）受理</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组织评审的生态环境主管部门对申请是否属于受理范围、申请材料的完整性等进行审核，于5个工作日内做出受理或不予受理的决定。</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申请材料不完整的，应一次性告知需要补正的材料。</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不予受理的，应说明不予受理的理由。</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（三）组织评审</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组织评审的部门应当在受理申请后30个工作日内完成评审。如需开展抽样检测鉴定等工作的，其时间不计算在内。</w:t>
      </w:r>
    </w:p>
    <w:p>
      <w:pPr>
        <w:topLinePunct/>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五、关于专家评审</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生态环境主管部门会同自然资源主管部门，或第三方专业机构组织专家进行评审的，总体要求如下。</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（一）专家审查的形式</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一般为会议审查，并结合必要的现场踏勘。</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（二）建立专家库</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设区的市级以上生态环境主管部门会同自然资源部门应当建立健全土壤污染防治专家库，专家评审原则上从专家库抽取或选取专家。评审涉及行业管理的，可以邀请专家库以外的行业专家。与评审项目各方有利益相关的专家应主动回避。</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专家应具备以下条件：1.熟悉土壤污染防治相关法律法规（特别是《中华人民共和国土壤污染防治法》），掌握关于评审土壤污染状况调查、风险评估、风险管控和修复效果评估报告的法律要求；熟悉土壤污染防治相关政策、标准和规范。涉及到地下水受到污染的，应当熟悉地下水污染防治相关法律法规、政策、标准和规范；2.具有良好职业道德，能坚持科学、客观、公正、高效、廉洁的评审原则，身体健康，能够承担专家审查任务；3.在建设用地风险管控和修复涉及的专业或行业中有较深造诣，熟悉其专业或者行业的国内外情况及动态；4.具有高级以上专业技术职称或者取得相关行业职业资格证书，且从事相关专业领域工作5年以上，在相关领域有突出专业特长或管理经验的专业技术职称可适当放宽；5.无犯罪记录。</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（三）专家组成</w:t>
      </w:r>
    </w:p>
    <w:p>
      <w:pPr>
        <w:topLinePunct/>
        <w:adjustRightInd w:val="0"/>
        <w:snapToGrid w:val="0"/>
        <w:spacing w:line="348" w:lineRule="auto"/>
        <w:ind w:firstLine="602" w:firstLineChars="200"/>
        <w:rPr>
          <w:rFonts w:hint="eastAsia" w:ascii="仿宋_GB2312" w:hAnsi="Times New Roman" w:eastAsia="仿宋_GB2312"/>
          <w:b/>
          <w:kern w:val="0"/>
          <w:sz w:val="30"/>
          <w:szCs w:val="30"/>
        </w:rPr>
      </w:pPr>
      <w:r>
        <w:rPr>
          <w:rFonts w:hint="eastAsia" w:ascii="仿宋_GB2312" w:hAnsi="Times New Roman" w:eastAsia="仿宋_GB2312"/>
          <w:b/>
          <w:kern w:val="0"/>
          <w:sz w:val="30"/>
          <w:szCs w:val="30"/>
        </w:rPr>
        <w:t>1.关于土壤污染状况调查报告评审</w:t>
      </w:r>
    </w:p>
    <w:p>
      <w:pPr>
        <w:topLinePunct/>
        <w:adjustRightInd w:val="0"/>
        <w:snapToGrid w:val="0"/>
        <w:spacing w:line="348" w:lineRule="auto"/>
        <w:ind w:firstLine="600" w:firstLineChars="200"/>
        <w:rPr>
          <w:rFonts w:hint="eastAsia" w:ascii="仿宋_GB2312" w:hAnsi="Times New Roman" w:eastAsia="仿宋_GB2312"/>
          <w:b/>
          <w:color w:val="FF0000"/>
          <w:sz w:val="30"/>
          <w:szCs w:val="30"/>
        </w:rPr>
      </w:pPr>
      <w:r>
        <w:rPr>
          <w:rFonts w:hint="eastAsia" w:ascii="仿宋_GB2312" w:hAnsi="Times New Roman" w:eastAsia="仿宋_GB2312"/>
          <w:sz w:val="30"/>
          <w:szCs w:val="30"/>
        </w:rPr>
        <w:t>原则上人数应不少于5人，复杂或高风险场地的报告可适当增加专家组人数。优先选择具有土壤污染状况调查经验的专家。建设用地土壤污染涉及相关工业企业的，至少有1名熟悉相关工艺流程的行业专家；涉及到地下水受到污染的，至少有1名熟悉地下水污染防治的专家。</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专家组长原则上应有建设用地土壤污染状况调查从业经验。</w:t>
      </w:r>
    </w:p>
    <w:p>
      <w:pPr>
        <w:topLinePunct/>
        <w:adjustRightInd w:val="0"/>
        <w:snapToGrid w:val="0"/>
        <w:spacing w:line="348" w:lineRule="auto"/>
        <w:ind w:firstLine="602" w:firstLineChars="200"/>
        <w:rPr>
          <w:rFonts w:hint="eastAsia" w:ascii="仿宋_GB2312" w:hAnsi="Times New Roman" w:eastAsia="仿宋_GB2312"/>
          <w:b/>
          <w:kern w:val="0"/>
          <w:sz w:val="30"/>
          <w:szCs w:val="30"/>
        </w:rPr>
      </w:pPr>
      <w:r>
        <w:rPr>
          <w:rFonts w:hint="eastAsia" w:ascii="仿宋_GB2312" w:hAnsi="Times New Roman" w:eastAsia="仿宋_GB2312"/>
          <w:b/>
          <w:kern w:val="0"/>
          <w:sz w:val="30"/>
          <w:szCs w:val="30"/>
        </w:rPr>
        <w:t>2.关于土壤污染风险评估报告评审</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原则上人数应不少于5人，复杂或高风险场地的报告可适当增加专家组人数。优先选择熟悉场地概念模型构建、健康风险评估以及具有土壤污染风险评估经验的专家。涉及到地下水受到污染的，至少有1名熟悉地下水污染防治的专家。</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专家组长原则上应有3年及以上建设用地土壤污染风险评估相关经验。</w:t>
      </w:r>
    </w:p>
    <w:p>
      <w:pPr>
        <w:topLinePunct/>
        <w:adjustRightInd w:val="0"/>
        <w:snapToGrid w:val="0"/>
        <w:spacing w:line="348" w:lineRule="auto"/>
        <w:ind w:firstLine="602" w:firstLineChars="200"/>
        <w:rPr>
          <w:rFonts w:hint="eastAsia" w:ascii="仿宋_GB2312" w:hAnsi="Times New Roman" w:eastAsia="仿宋_GB2312"/>
          <w:b/>
          <w:spacing w:val="4"/>
          <w:kern w:val="0"/>
          <w:sz w:val="30"/>
          <w:szCs w:val="30"/>
        </w:rPr>
      </w:pPr>
      <w:r>
        <w:rPr>
          <w:rFonts w:hint="eastAsia" w:ascii="仿宋_GB2312" w:hAnsi="Times New Roman" w:eastAsia="仿宋_GB2312"/>
          <w:b/>
          <w:kern w:val="0"/>
          <w:sz w:val="30"/>
          <w:szCs w:val="30"/>
        </w:rPr>
        <w:t>3.</w:t>
      </w:r>
      <w:r>
        <w:rPr>
          <w:rFonts w:hint="eastAsia" w:ascii="仿宋_GB2312" w:hAnsi="Times New Roman" w:eastAsia="仿宋_GB2312"/>
          <w:b/>
          <w:spacing w:val="4"/>
          <w:kern w:val="0"/>
          <w:sz w:val="30"/>
          <w:szCs w:val="30"/>
        </w:rPr>
        <w:t>关于土壤污染风险管控效果评估报告或修复效果评估报告评审</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原则上人数应不少于5人，复杂或高风险场地的报告可适当增加专家组人数。优先选择熟悉相关风险管控或修复工艺技术以及具有土壤污染风险评估、风险管控或修复及效果评估从业经验的专家。涉及到地下水受到污染的，至少有1名熟悉地下水污染防治的专家。</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专家组长原则上应有3年及以上建设用地土壤污染风险评估、风险管控、修复或效果评估相关经验。</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（四）专家及专家组意见</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评审组织部门或第三方专业机构，应提前将需要评审的报告及相关资料送达专家组所有成员。</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专家组成员应按照评审意见的内容要求，独立出具个人审查意见，对其出具的个人审查意见负责；对报告质量进行个人评分（按照百分制）。</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经专家会审后，专家组综合形成评审意见，并由专家组所有成员签字确认，专家组对其出具的评审意见负责；在专家个人评分的基础上，去掉最高和最低分后，取平均分，作为报告质量的分值。</w:t>
      </w:r>
    </w:p>
    <w:p>
      <w:pPr>
        <w:topLinePunct/>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六、关于第三方机构评审</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第三方专业机构应</w:t>
      </w:r>
      <w:r>
        <w:rPr>
          <w:rFonts w:hint="eastAsia" w:ascii="仿宋_GB2312" w:hAnsi="Times New Roman" w:eastAsia="仿宋_GB2312"/>
          <w:color w:val="000000"/>
          <w:sz w:val="30"/>
          <w:szCs w:val="30"/>
        </w:rPr>
        <w:t>符合以下基本条件：1</w:t>
      </w:r>
      <w:r>
        <w:rPr>
          <w:rStyle w:val="10"/>
          <w:rFonts w:hint="eastAsia" w:ascii="仿宋_GB2312" w:hAnsi="Times New Roman" w:eastAsia="仿宋_GB2312"/>
          <w:b w:val="0"/>
          <w:bCs w:val="0"/>
          <w:color w:val="000000"/>
          <w:sz w:val="30"/>
          <w:szCs w:val="30"/>
        </w:rPr>
        <w:t>.</w:t>
      </w:r>
      <w:r>
        <w:rPr>
          <w:rFonts w:hint="eastAsia" w:ascii="仿宋_GB2312" w:hAnsi="Times New Roman" w:eastAsia="仿宋_GB2312"/>
          <w:sz w:val="30"/>
          <w:szCs w:val="30"/>
        </w:rPr>
        <w:t>在国内注册的法人单位，</w:t>
      </w:r>
      <w:r>
        <w:rPr>
          <w:rStyle w:val="10"/>
          <w:rFonts w:hint="eastAsia" w:ascii="仿宋_GB2312" w:hAnsi="Times New Roman" w:eastAsia="仿宋_GB2312"/>
          <w:b w:val="0"/>
          <w:bCs w:val="0"/>
          <w:color w:val="000000"/>
          <w:sz w:val="30"/>
          <w:szCs w:val="30"/>
        </w:rPr>
        <w:t>有健全的组织机构，</w:t>
      </w:r>
      <w:r>
        <w:rPr>
          <w:rFonts w:hint="eastAsia" w:ascii="仿宋_GB2312" w:hAnsi="Times New Roman" w:eastAsia="仿宋_GB2312"/>
          <w:sz w:val="30"/>
          <w:szCs w:val="30"/>
        </w:rPr>
        <w:t>具有固定的工作场所</w:t>
      </w:r>
      <w:r>
        <w:rPr>
          <w:rStyle w:val="10"/>
          <w:rFonts w:hint="eastAsia" w:ascii="仿宋_GB2312" w:hAnsi="Times New Roman" w:eastAsia="仿宋_GB2312"/>
          <w:b w:val="0"/>
          <w:bCs w:val="0"/>
          <w:color w:val="000000"/>
          <w:sz w:val="30"/>
          <w:szCs w:val="30"/>
        </w:rPr>
        <w:t>；2.遵守国家有关法律法规和政策规定，社会信誉良好，</w:t>
      </w:r>
      <w:r>
        <w:rPr>
          <w:rFonts w:hint="eastAsia" w:ascii="仿宋_GB2312" w:hAnsi="Times New Roman" w:eastAsia="仿宋_GB2312"/>
          <w:sz w:val="30"/>
          <w:szCs w:val="30"/>
        </w:rPr>
        <w:t>无违法记录</w:t>
      </w:r>
      <w:r>
        <w:rPr>
          <w:rStyle w:val="10"/>
          <w:rFonts w:hint="eastAsia" w:ascii="仿宋_GB2312" w:hAnsi="Times New Roman" w:eastAsia="仿宋_GB2312"/>
          <w:b w:val="0"/>
          <w:bCs w:val="0"/>
          <w:color w:val="000000"/>
          <w:sz w:val="30"/>
          <w:szCs w:val="30"/>
        </w:rPr>
        <w:t>；3.具有承担国家和地方生态环境保护有关规划、政策研究和咨询的工作经验；4.具有3名及以上长期（10年及以上）从事环境保护管理、政策、规划、技术咨询工作经验的高级职称研究人员；5.</w:t>
      </w:r>
      <w:r>
        <w:rPr>
          <w:rFonts w:hint="eastAsia" w:ascii="仿宋_GB2312" w:hAnsi="Times New Roman" w:eastAsia="仿宋_GB2312"/>
          <w:sz w:val="30"/>
          <w:szCs w:val="30"/>
        </w:rPr>
        <w:t>承担审查任务合同期内及结束后2年内不得承接或参与申请人及报告出具单位委托的土壤污染风险管控和修复项目。</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不组织专家评审的，第三方专业机构应当对报告质量进行评分（按照百分制）。</w:t>
      </w:r>
    </w:p>
    <w:p>
      <w:pPr>
        <w:topLinePunct/>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七、关于评审意见</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评审应当就以下问题给出明确意见和结论。</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（一）土壤污染状况调查报告</w:t>
      </w:r>
    </w:p>
    <w:p>
      <w:pPr>
        <w:topLinePunct/>
        <w:adjustRightInd w:val="0"/>
        <w:snapToGrid w:val="0"/>
        <w:spacing w:line="348" w:lineRule="auto"/>
        <w:ind w:firstLine="602" w:firstLineChars="200"/>
        <w:rPr>
          <w:rFonts w:hint="eastAsia" w:ascii="仿宋_GB2312" w:hAnsi="Times New Roman" w:eastAsia="仿宋_GB2312"/>
          <w:b/>
          <w:kern w:val="0"/>
          <w:sz w:val="30"/>
          <w:szCs w:val="30"/>
        </w:rPr>
      </w:pPr>
      <w:r>
        <w:rPr>
          <w:rFonts w:hint="eastAsia" w:ascii="仿宋_GB2312" w:hAnsi="Times New Roman" w:eastAsia="仿宋_GB2312"/>
          <w:b/>
          <w:kern w:val="0"/>
          <w:sz w:val="30"/>
          <w:szCs w:val="30"/>
        </w:rPr>
        <w:t>1.土壤污染状况调查程序与方法是否符合国家相关标准规范要求。</w:t>
      </w:r>
    </w:p>
    <w:p>
      <w:pPr>
        <w:shd w:val="clear" w:color="auto" w:fill="FFFFFF"/>
        <w:topLinePunct/>
        <w:adjustRightInd w:val="0"/>
        <w:snapToGrid w:val="0"/>
        <w:spacing w:line="348" w:lineRule="auto"/>
        <w:ind w:firstLine="602" w:firstLineChars="200"/>
        <w:rPr>
          <w:rFonts w:hint="eastAsia" w:ascii="仿宋_GB2312" w:hAnsi="Times New Roman" w:eastAsia="仿宋_GB2312"/>
          <w:kern w:val="0"/>
          <w:sz w:val="30"/>
          <w:szCs w:val="30"/>
        </w:rPr>
      </w:pPr>
      <w:r>
        <w:rPr>
          <w:rFonts w:hint="eastAsia" w:ascii="仿宋_GB2312" w:hAnsi="Times New Roman" w:eastAsia="仿宋_GB2312"/>
          <w:b/>
          <w:kern w:val="0"/>
          <w:sz w:val="30"/>
          <w:szCs w:val="30"/>
        </w:rPr>
        <w:t>2.土壤污染状况调查报告是否包括以下主要内容</w:t>
      </w:r>
      <w:r>
        <w:rPr>
          <w:rFonts w:hint="eastAsia" w:ascii="仿宋_GB2312" w:hAnsi="Times New Roman" w:eastAsia="仿宋_GB2312"/>
          <w:kern w:val="0"/>
          <w:sz w:val="30"/>
          <w:szCs w:val="30"/>
        </w:rPr>
        <w:t>：地块基本信息、污染物含量是否超过土壤污染风险管控标准等内容。污染物含量超过土壤污染风险管控标准的，土壤污染状况调查报告还应当包括污染类型、污染来源以及地下水是否受到污染等内容。</w:t>
      </w:r>
    </w:p>
    <w:p>
      <w:pPr>
        <w:topLinePunct/>
        <w:adjustRightInd w:val="0"/>
        <w:snapToGrid w:val="0"/>
        <w:spacing w:line="348" w:lineRule="auto"/>
        <w:ind w:firstLine="602" w:firstLineChars="200"/>
        <w:rPr>
          <w:rFonts w:hint="eastAsia" w:ascii="仿宋_GB2312" w:hAnsi="Times New Roman" w:eastAsia="仿宋_GB2312"/>
          <w:sz w:val="30"/>
          <w:szCs w:val="30"/>
        </w:rPr>
      </w:pPr>
      <w:r>
        <w:rPr>
          <w:rFonts w:hint="eastAsia" w:ascii="仿宋_GB2312" w:hAnsi="Times New Roman" w:eastAsia="仿宋_GB2312"/>
          <w:b/>
          <w:kern w:val="0"/>
          <w:sz w:val="30"/>
          <w:szCs w:val="30"/>
        </w:rPr>
        <w:t>3.污染物含量是否超过土壤污染风险管控标准的结论。</w:t>
      </w:r>
      <w:r>
        <w:rPr>
          <w:rFonts w:hint="eastAsia" w:ascii="仿宋_GB2312" w:hAnsi="Times New Roman" w:eastAsia="仿宋_GB2312"/>
          <w:kern w:val="0"/>
          <w:sz w:val="30"/>
          <w:szCs w:val="30"/>
        </w:rPr>
        <w:t>一般</w:t>
      </w:r>
      <w:r>
        <w:rPr>
          <w:rFonts w:hint="eastAsia" w:ascii="仿宋_GB2312" w:hAnsi="Times New Roman" w:eastAsia="仿宋_GB2312"/>
          <w:sz w:val="30"/>
          <w:szCs w:val="30"/>
        </w:rPr>
        <w:t>存在3种情况：土壤污染物超过风险管控标准；</w:t>
      </w:r>
      <w:r>
        <w:rPr>
          <w:rFonts w:hint="eastAsia" w:ascii="仿宋_GB2312" w:hAnsi="Times New Roman" w:eastAsia="仿宋_GB2312"/>
          <w:kern w:val="0"/>
          <w:sz w:val="30"/>
          <w:szCs w:val="30"/>
        </w:rPr>
        <w:t>未超过，且无需进一步</w:t>
      </w:r>
      <w:r>
        <w:rPr>
          <w:rFonts w:hint="eastAsia" w:ascii="仿宋_GB2312" w:hAnsi="Times New Roman" w:eastAsia="仿宋_GB2312"/>
          <w:sz w:val="30"/>
          <w:szCs w:val="30"/>
        </w:rPr>
        <w:t>补充调查；无法得出结论，需要进一步补充调查。</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（二）土壤污染风险评估报告</w:t>
      </w:r>
    </w:p>
    <w:p>
      <w:pPr>
        <w:topLinePunct/>
        <w:adjustRightInd w:val="0"/>
        <w:snapToGrid w:val="0"/>
        <w:spacing w:line="360" w:lineRule="auto"/>
        <w:ind w:firstLine="602" w:firstLineChars="200"/>
        <w:rPr>
          <w:rFonts w:hint="eastAsia" w:ascii="仿宋_GB2312" w:hAnsi="Times New Roman" w:eastAsia="仿宋_GB2312"/>
          <w:sz w:val="30"/>
          <w:szCs w:val="30"/>
        </w:rPr>
      </w:pPr>
      <w:r>
        <w:rPr>
          <w:rFonts w:hint="eastAsia" w:ascii="仿宋_GB2312" w:hAnsi="Times New Roman" w:eastAsia="仿宋_GB2312"/>
          <w:b/>
          <w:kern w:val="0"/>
          <w:sz w:val="30"/>
          <w:szCs w:val="30"/>
        </w:rPr>
        <w:t>1.土壤污染状况调查的数据是否能够满足风险评估的要求。</w:t>
      </w:r>
      <w:r>
        <w:rPr>
          <w:rFonts w:hint="eastAsia" w:ascii="仿宋_GB2312" w:hAnsi="Times New Roman" w:eastAsia="仿宋_GB2312"/>
          <w:kern w:val="0"/>
          <w:sz w:val="30"/>
          <w:szCs w:val="30"/>
        </w:rPr>
        <w:t>一般</w:t>
      </w:r>
      <w:r>
        <w:rPr>
          <w:rFonts w:hint="eastAsia" w:ascii="仿宋_GB2312" w:hAnsi="Times New Roman" w:eastAsia="仿宋_GB2312"/>
          <w:sz w:val="30"/>
          <w:szCs w:val="30"/>
        </w:rPr>
        <w:t>存在2种情况：满足；不满足，需要进一步补充调查。</w:t>
      </w:r>
    </w:p>
    <w:p>
      <w:pPr>
        <w:topLinePunct/>
        <w:adjustRightInd w:val="0"/>
        <w:snapToGrid w:val="0"/>
        <w:spacing w:line="360" w:lineRule="auto"/>
        <w:ind w:firstLine="602" w:firstLineChars="200"/>
        <w:rPr>
          <w:rFonts w:hint="eastAsia" w:ascii="仿宋_GB2312" w:hAnsi="Times New Roman" w:eastAsia="仿宋_GB2312"/>
          <w:spacing w:val="-8"/>
          <w:kern w:val="0"/>
          <w:sz w:val="30"/>
          <w:szCs w:val="30"/>
        </w:rPr>
      </w:pPr>
      <w:r>
        <w:rPr>
          <w:rFonts w:hint="eastAsia" w:ascii="仿宋_GB2312" w:hAnsi="Times New Roman" w:eastAsia="仿宋_GB2312"/>
          <w:b/>
          <w:kern w:val="0"/>
          <w:sz w:val="30"/>
          <w:szCs w:val="30"/>
        </w:rPr>
        <w:t>2.</w:t>
      </w:r>
      <w:r>
        <w:rPr>
          <w:rFonts w:hint="eastAsia" w:ascii="仿宋_GB2312" w:hAnsi="Times New Roman" w:eastAsia="仿宋_GB2312"/>
          <w:b/>
          <w:spacing w:val="-8"/>
          <w:kern w:val="0"/>
          <w:sz w:val="30"/>
          <w:szCs w:val="30"/>
        </w:rPr>
        <w:t>土壤污染风险评估程序和方法是否符合国家相关标准规范要求</w:t>
      </w:r>
      <w:r>
        <w:rPr>
          <w:rFonts w:hint="eastAsia" w:ascii="仿宋_GB2312" w:hAnsi="Times New Roman" w:eastAsia="仿宋_GB2312"/>
          <w:spacing w:val="-8"/>
          <w:kern w:val="0"/>
          <w:sz w:val="30"/>
          <w:szCs w:val="30"/>
        </w:rPr>
        <w:t>。</w:t>
      </w:r>
    </w:p>
    <w:p>
      <w:pPr>
        <w:topLinePunct/>
        <w:adjustRightInd w:val="0"/>
        <w:snapToGrid w:val="0"/>
        <w:spacing w:line="360" w:lineRule="auto"/>
        <w:ind w:firstLine="602" w:firstLineChars="200"/>
        <w:rPr>
          <w:rFonts w:hint="eastAsia" w:ascii="仿宋_GB2312" w:hAnsi="Times New Roman" w:eastAsia="仿宋_GB2312"/>
          <w:kern w:val="0"/>
          <w:sz w:val="30"/>
          <w:szCs w:val="30"/>
        </w:rPr>
      </w:pPr>
      <w:r>
        <w:rPr>
          <w:rFonts w:hint="eastAsia" w:ascii="仿宋_GB2312" w:hAnsi="Times New Roman" w:eastAsia="仿宋_GB2312"/>
          <w:b/>
          <w:kern w:val="0"/>
          <w:sz w:val="30"/>
          <w:szCs w:val="30"/>
        </w:rPr>
        <w:t>3.土壤污染风险评估报告是否包括以下内容</w:t>
      </w:r>
      <w:r>
        <w:rPr>
          <w:rFonts w:hint="eastAsia" w:ascii="仿宋_GB2312" w:hAnsi="Times New Roman" w:eastAsia="仿宋_GB2312"/>
          <w:kern w:val="0"/>
          <w:sz w:val="30"/>
          <w:szCs w:val="30"/>
        </w:rPr>
        <w:t>：主要污染物状况；土壤及地下水污染范围；暴露情景与公众健康风险；风险管控、修复的目标和基本要求等。</w:t>
      </w:r>
    </w:p>
    <w:p>
      <w:pPr>
        <w:topLinePunct/>
        <w:adjustRightInd w:val="0"/>
        <w:snapToGrid w:val="0"/>
        <w:spacing w:line="360" w:lineRule="auto"/>
        <w:ind w:firstLine="602" w:firstLineChars="200"/>
        <w:rPr>
          <w:rFonts w:hint="eastAsia" w:ascii="仿宋_GB2312" w:hAnsi="Times New Roman" w:eastAsia="仿宋_GB2312"/>
          <w:sz w:val="30"/>
          <w:szCs w:val="30"/>
        </w:rPr>
      </w:pPr>
      <w:r>
        <w:rPr>
          <w:rFonts w:hint="eastAsia" w:ascii="仿宋_GB2312" w:hAnsi="Times New Roman" w:eastAsia="仿宋_GB2312"/>
          <w:b/>
          <w:kern w:val="0"/>
          <w:sz w:val="30"/>
          <w:szCs w:val="30"/>
        </w:rPr>
        <w:t>4.是否需要实施风险管控、修复</w:t>
      </w:r>
      <w:r>
        <w:rPr>
          <w:rFonts w:hint="eastAsia" w:ascii="仿宋_GB2312" w:hAnsi="Times New Roman" w:eastAsia="仿宋_GB2312"/>
          <w:kern w:val="0"/>
          <w:sz w:val="30"/>
          <w:szCs w:val="30"/>
        </w:rPr>
        <w:t>。一般</w:t>
      </w:r>
      <w:r>
        <w:rPr>
          <w:rFonts w:hint="eastAsia" w:ascii="仿宋_GB2312" w:hAnsi="Times New Roman" w:eastAsia="仿宋_GB2312"/>
          <w:sz w:val="30"/>
          <w:szCs w:val="30"/>
        </w:rPr>
        <w:t>存在3种情况：风险不可接受，需要采取风险管控、修复措施；风险可接受，且不需要进一步补充调查，不需要采取风险管控、修复措施；风险不确定，需要进一步补充调查，并再次进行风险评估和评审。</w:t>
      </w:r>
    </w:p>
    <w:p>
      <w:pPr>
        <w:shd w:val="clear" w:color="auto" w:fill="FFFFFF"/>
        <w:topLinePunct/>
        <w:adjustRightInd w:val="0"/>
        <w:snapToGrid w:val="0"/>
        <w:spacing w:line="360" w:lineRule="auto"/>
        <w:ind w:firstLine="602" w:firstLineChars="200"/>
        <w:rPr>
          <w:rFonts w:hint="eastAsia" w:ascii="仿宋_GB2312" w:hAnsi="Times New Roman" w:eastAsia="仿宋_GB2312"/>
          <w:kern w:val="0"/>
          <w:sz w:val="30"/>
          <w:szCs w:val="30"/>
        </w:rPr>
      </w:pPr>
      <w:r>
        <w:rPr>
          <w:rFonts w:hint="eastAsia" w:ascii="仿宋_GB2312" w:hAnsi="Times New Roman" w:eastAsia="仿宋_GB2312"/>
          <w:b/>
          <w:kern w:val="0"/>
          <w:sz w:val="30"/>
          <w:szCs w:val="30"/>
        </w:rPr>
        <w:t>5.风险管控、修复的目标和基本要求等是否科学合理</w:t>
      </w:r>
      <w:r>
        <w:rPr>
          <w:rFonts w:hint="eastAsia" w:ascii="仿宋_GB2312" w:hAnsi="Times New Roman" w:eastAsia="仿宋_GB2312"/>
          <w:kern w:val="0"/>
          <w:sz w:val="30"/>
          <w:szCs w:val="30"/>
        </w:rPr>
        <w:t>。</w:t>
      </w:r>
    </w:p>
    <w:p>
      <w:pPr>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（三）风险管控效果评估报告、修复效果评估报告</w:t>
      </w:r>
    </w:p>
    <w:p>
      <w:pPr>
        <w:topLinePunct/>
        <w:adjustRightInd w:val="0"/>
        <w:snapToGrid w:val="0"/>
        <w:spacing w:line="360" w:lineRule="auto"/>
        <w:ind w:firstLine="602" w:firstLineChars="200"/>
        <w:rPr>
          <w:rFonts w:hint="eastAsia" w:ascii="仿宋_GB2312" w:hAnsi="Times New Roman" w:eastAsia="仿宋_GB2312"/>
          <w:b/>
          <w:kern w:val="0"/>
          <w:sz w:val="30"/>
          <w:szCs w:val="30"/>
        </w:rPr>
      </w:pPr>
      <w:r>
        <w:rPr>
          <w:rFonts w:hint="eastAsia" w:ascii="仿宋_GB2312" w:hAnsi="Times New Roman" w:eastAsia="仿宋_GB2312"/>
          <w:b/>
          <w:kern w:val="0"/>
          <w:sz w:val="30"/>
          <w:szCs w:val="30"/>
        </w:rPr>
        <w:t>1.土壤污染风险管控、修复效果评估程序与方法是否符合国家相关标准规范要求。</w:t>
      </w:r>
    </w:p>
    <w:p>
      <w:pPr>
        <w:shd w:val="clear" w:color="auto" w:fill="FFFFFF"/>
        <w:topLinePunct/>
        <w:adjustRightInd w:val="0"/>
        <w:snapToGrid w:val="0"/>
        <w:spacing w:line="360" w:lineRule="auto"/>
        <w:ind w:firstLine="602" w:firstLineChars="200"/>
        <w:rPr>
          <w:rFonts w:hint="eastAsia" w:ascii="仿宋_GB2312" w:hAnsi="Times New Roman" w:eastAsia="仿宋_GB2312"/>
          <w:kern w:val="0"/>
          <w:sz w:val="30"/>
          <w:szCs w:val="30"/>
        </w:rPr>
      </w:pPr>
      <w:r>
        <w:rPr>
          <w:rFonts w:hint="eastAsia" w:ascii="仿宋_GB2312" w:hAnsi="Times New Roman" w:eastAsia="仿宋_GB2312"/>
          <w:b/>
          <w:kern w:val="0"/>
          <w:sz w:val="30"/>
          <w:szCs w:val="30"/>
        </w:rPr>
        <w:t>2.风险管控效果评估报告、修复效果评估报告是否包括以下内容</w:t>
      </w:r>
      <w:r>
        <w:rPr>
          <w:rFonts w:hint="eastAsia" w:ascii="仿宋_GB2312" w:hAnsi="Times New Roman" w:eastAsia="仿宋_GB2312"/>
          <w:kern w:val="0"/>
          <w:sz w:val="30"/>
          <w:szCs w:val="30"/>
        </w:rPr>
        <w:t>：是否达到土壤污染风险评估报告确定的风险管控、修复目标且可以安全利用等内容。</w:t>
      </w:r>
    </w:p>
    <w:p>
      <w:pPr>
        <w:topLinePunct/>
        <w:adjustRightInd w:val="0"/>
        <w:snapToGrid w:val="0"/>
        <w:spacing w:line="360" w:lineRule="auto"/>
        <w:ind w:firstLine="602" w:firstLineChars="200"/>
        <w:rPr>
          <w:rFonts w:hint="eastAsia" w:ascii="仿宋_GB2312" w:hAnsi="Times New Roman" w:eastAsia="仿宋_GB2312"/>
          <w:kern w:val="0"/>
          <w:sz w:val="30"/>
          <w:szCs w:val="30"/>
        </w:rPr>
      </w:pPr>
      <w:r>
        <w:rPr>
          <w:rFonts w:hint="eastAsia" w:ascii="仿宋_GB2312" w:hAnsi="Times New Roman" w:eastAsia="仿宋_GB2312"/>
          <w:b/>
          <w:kern w:val="0"/>
          <w:sz w:val="30"/>
          <w:szCs w:val="30"/>
        </w:rPr>
        <w:t>3.是否达到土壤污染风险评估报告确定的风险管控、修复目标且可以安全利用。</w:t>
      </w:r>
      <w:r>
        <w:rPr>
          <w:rFonts w:hint="eastAsia" w:ascii="仿宋_GB2312" w:hAnsi="Times New Roman" w:eastAsia="仿宋_GB2312"/>
          <w:kern w:val="0"/>
          <w:sz w:val="30"/>
          <w:szCs w:val="30"/>
        </w:rPr>
        <w:t>一般</w:t>
      </w:r>
      <w:r>
        <w:rPr>
          <w:rFonts w:hint="eastAsia" w:ascii="仿宋_GB2312" w:hAnsi="Times New Roman" w:eastAsia="仿宋_GB2312"/>
          <w:sz w:val="30"/>
          <w:szCs w:val="30"/>
        </w:rPr>
        <w:t>存在3种情况：未</w:t>
      </w:r>
      <w:r>
        <w:rPr>
          <w:rFonts w:hint="eastAsia" w:ascii="仿宋_GB2312" w:hAnsi="Times New Roman" w:eastAsia="仿宋_GB2312"/>
          <w:kern w:val="0"/>
          <w:sz w:val="30"/>
          <w:szCs w:val="30"/>
        </w:rPr>
        <w:t>达到土壤污染风险评估报告确定的风险管控、修复目标，不可以安全利用</w:t>
      </w:r>
      <w:r>
        <w:rPr>
          <w:rFonts w:hint="eastAsia" w:ascii="仿宋_GB2312" w:hAnsi="Times New Roman" w:eastAsia="仿宋_GB2312"/>
          <w:sz w:val="30"/>
          <w:szCs w:val="30"/>
        </w:rPr>
        <w:t>；</w:t>
      </w:r>
      <w:r>
        <w:rPr>
          <w:rFonts w:hint="eastAsia" w:ascii="仿宋_GB2312" w:hAnsi="Times New Roman" w:eastAsia="仿宋_GB2312"/>
          <w:kern w:val="0"/>
          <w:sz w:val="30"/>
          <w:szCs w:val="30"/>
        </w:rPr>
        <w:t>达到土壤污染风险评估报告确定的风险管控、修复目标且可以安全利用</w:t>
      </w:r>
      <w:r>
        <w:rPr>
          <w:rFonts w:hint="eastAsia" w:ascii="仿宋_GB2312" w:hAnsi="Times New Roman" w:eastAsia="仿宋_GB2312"/>
          <w:sz w:val="30"/>
          <w:szCs w:val="30"/>
        </w:rPr>
        <w:t>；不确定，需要进一步补充调查，并再次进行效果评估。</w:t>
      </w:r>
    </w:p>
    <w:p>
      <w:pPr>
        <w:topLinePunct/>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八、评审后的管理</w:t>
      </w:r>
    </w:p>
    <w:p>
      <w:pPr>
        <w:topLinePunct/>
        <w:adjustRightInd w:val="0"/>
        <w:snapToGrid w:val="0"/>
        <w:spacing w:line="348" w:lineRule="auto"/>
        <w:ind w:firstLine="600" w:firstLineChars="200"/>
        <w:rPr>
          <w:rFonts w:hint="eastAsia" w:ascii="仿宋_GB2312" w:hAnsi="Times New Roman" w:eastAsia="仿宋_GB2312"/>
          <w:kern w:val="0"/>
          <w:sz w:val="30"/>
          <w:szCs w:val="30"/>
        </w:rPr>
      </w:pPr>
      <w:r>
        <w:rPr>
          <w:rFonts w:hint="eastAsia" w:ascii="仿宋_GB2312" w:hAnsi="Times New Roman" w:eastAsia="仿宋_GB2312"/>
          <w:kern w:val="0"/>
          <w:sz w:val="30"/>
          <w:szCs w:val="30"/>
        </w:rPr>
        <w:t>生态环境主管部门会同自然资源主管部门应当将评审意见告知申请人。</w:t>
      </w:r>
    </w:p>
    <w:p>
      <w:pPr>
        <w:topLinePunct/>
        <w:adjustRightInd w:val="0"/>
        <w:snapToGrid w:val="0"/>
        <w:spacing w:line="360"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（一）土壤污染状况调查报告</w:t>
      </w:r>
    </w:p>
    <w:p>
      <w:pPr>
        <w:topLinePunct/>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kern w:val="0"/>
          <w:sz w:val="30"/>
          <w:szCs w:val="30"/>
        </w:rPr>
        <w:t>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生态环境主管部门。</w:t>
      </w:r>
    </w:p>
    <w:p>
      <w:pPr>
        <w:topLinePunct/>
        <w:adjustRightInd w:val="0"/>
        <w:snapToGrid w:val="0"/>
        <w:spacing w:line="360"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（二）土壤污染风险评估报告</w:t>
      </w:r>
    </w:p>
    <w:p>
      <w:pPr>
        <w:shd w:val="clear" w:color="auto" w:fill="FFFFFF"/>
        <w:topLinePunct/>
        <w:adjustRightInd w:val="0"/>
        <w:snapToGrid w:val="0"/>
        <w:spacing w:line="360" w:lineRule="auto"/>
        <w:ind w:firstLine="600" w:firstLineChars="200"/>
        <w:rPr>
          <w:rFonts w:hint="eastAsia" w:ascii="仿宋_GB2312" w:hAnsi="Times New Roman" w:eastAsia="仿宋_GB2312"/>
          <w:kern w:val="0"/>
          <w:sz w:val="30"/>
          <w:szCs w:val="30"/>
        </w:rPr>
      </w:pPr>
      <w:r>
        <w:rPr>
          <w:rFonts w:hint="eastAsia" w:ascii="仿宋_GB2312" w:hAnsi="Times New Roman" w:eastAsia="仿宋_GB2312"/>
          <w:kern w:val="0"/>
          <w:sz w:val="30"/>
          <w:szCs w:val="30"/>
        </w:rPr>
        <w:t>依据对土壤污染风险评估报告的评审意见，省级生态环境主管部门应当会同自然资源主管部门，及时将需要实施风险管控、修复的地块纳入建设用地土壤污染风险管控和修复名录。</w:t>
      </w:r>
    </w:p>
    <w:p>
      <w:pPr>
        <w:topLinePunct/>
        <w:adjustRightInd w:val="0"/>
        <w:snapToGrid w:val="0"/>
        <w:spacing w:line="360"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（三）风险管控效果评估报告、修复效果评估报告</w:t>
      </w:r>
    </w:p>
    <w:p>
      <w:pPr>
        <w:shd w:val="clear" w:color="auto" w:fill="FFFFFF"/>
        <w:topLinePunct/>
        <w:adjustRightInd w:val="0"/>
        <w:snapToGrid w:val="0"/>
        <w:spacing w:line="360" w:lineRule="auto"/>
        <w:ind w:firstLine="600" w:firstLineChars="200"/>
        <w:rPr>
          <w:rFonts w:hint="eastAsia" w:ascii="仿宋_GB2312" w:hAnsi="Times New Roman" w:eastAsia="仿宋_GB2312"/>
          <w:kern w:val="0"/>
          <w:sz w:val="30"/>
          <w:szCs w:val="30"/>
        </w:rPr>
      </w:pPr>
      <w:r>
        <w:rPr>
          <w:rFonts w:hint="eastAsia" w:ascii="仿宋_GB2312" w:hAnsi="Times New Roman" w:eastAsia="仿宋_GB2312"/>
          <w:kern w:val="0"/>
          <w:sz w:val="30"/>
          <w:szCs w:val="30"/>
        </w:rPr>
        <w:t>依据对风险管控效果评估报告、修复效果评估报告的评审意见，省级生态环境主管部门应当会同自然资源主管部门，及时将达到土壤污染风险评估报告确定的风险管控、修复目标且可以安全利用的地块移出建设用地土壤污染风险管控和修复名录，按照规定向社会公开。</w:t>
      </w:r>
    </w:p>
    <w:p>
      <w:pPr>
        <w:topLinePunct/>
        <w:adjustRightInd w:val="0"/>
        <w:snapToGrid w:val="0"/>
        <w:spacing w:line="360"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（四）档案、信息管理</w:t>
      </w:r>
    </w:p>
    <w:p>
      <w:pPr>
        <w:topLinePunct/>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组织评审的部门应建立相应的档案管理制度，妥善保存申请材料、评审意见等相关材料，档案保存期限不少于10年。</w:t>
      </w:r>
    </w:p>
    <w:p>
      <w:pPr>
        <w:shd w:val="clear" w:color="auto" w:fill="FFFFFF"/>
        <w:topLinePunct/>
        <w:adjustRightInd w:val="0"/>
        <w:snapToGrid w:val="0"/>
        <w:spacing w:line="360" w:lineRule="auto"/>
        <w:ind w:firstLine="592" w:firstLineChars="200"/>
        <w:rPr>
          <w:rFonts w:hint="eastAsia" w:ascii="仿宋_GB2312" w:hAnsi="Times New Roman" w:eastAsia="仿宋_GB2312"/>
          <w:spacing w:val="-2"/>
          <w:sz w:val="30"/>
          <w:szCs w:val="30"/>
        </w:rPr>
      </w:pPr>
      <w:r>
        <w:rPr>
          <w:rFonts w:hint="eastAsia" w:ascii="仿宋_GB2312" w:hAnsi="Times New Roman" w:eastAsia="仿宋_GB2312"/>
          <w:spacing w:val="-2"/>
          <w:sz w:val="30"/>
          <w:szCs w:val="30"/>
        </w:rPr>
        <w:t>申请人应当在评审前将相关土壤污染风险评估报告、风险管控效果评估报告、修复效果评估报告，上传全国土壤环境信息平台。依据评审意见，需要进一步修改完善的报告，申请人应当在评审结束后30个工作日内将修改完善后的相关土壤污染风险评估报告、风险管控效果评估报告、修复效果评估报告上传全国土壤环境信息平台。</w:t>
      </w:r>
    </w:p>
    <w:p>
      <w:pPr>
        <w:shd w:val="clear" w:color="auto" w:fill="FFFFFF"/>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组织评审的部门应当将报告的评审意见上传全国土壤环境信息平台。</w:t>
      </w:r>
    </w:p>
    <w:p>
      <w:pPr>
        <w:shd w:val="clear" w:color="auto" w:fill="FFFFFF"/>
        <w:topLinePunct/>
        <w:adjustRightInd w:val="0"/>
        <w:snapToGrid w:val="0"/>
        <w:spacing w:line="348" w:lineRule="auto"/>
        <w:ind w:firstLine="602" w:firstLineChars="200"/>
        <w:rPr>
          <w:rFonts w:hint="eastAsia" w:ascii="楷体_GB2312" w:hAnsi="Times New Roman" w:eastAsia="楷体_GB2312"/>
          <w:b/>
          <w:sz w:val="30"/>
          <w:szCs w:val="30"/>
        </w:rPr>
      </w:pPr>
      <w:r>
        <w:rPr>
          <w:rFonts w:hint="eastAsia" w:ascii="楷体_GB2312" w:hAnsi="Times New Roman" w:eastAsia="楷体_GB2312"/>
          <w:b/>
          <w:sz w:val="30"/>
          <w:szCs w:val="30"/>
        </w:rPr>
        <w:t>（五）报告质量信息公开</w:t>
      </w:r>
    </w:p>
    <w:p>
      <w:pPr>
        <w:topLinePunct/>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组织评审的部门应当将评分信息上传全国土壤环境信息平台（专家个人评分、专家组评分或者第三方机构评分），并在评审部门官网予以公开，公开内容包括但不限于以下内容：项目名称、报告名称、报告出具单位及报告质量分值。</w:t>
      </w:r>
    </w:p>
    <w:p>
      <w:pPr>
        <w:topLinePunct/>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九、主体责任</w:t>
      </w:r>
    </w:p>
    <w:p>
      <w:pPr>
        <w:shd w:val="clear" w:color="auto" w:fill="FFFFFF"/>
        <w:topLinePunct/>
        <w:adjustRightInd w:val="0"/>
        <w:snapToGrid w:val="0"/>
        <w:spacing w:line="348" w:lineRule="auto"/>
        <w:ind w:firstLine="600" w:firstLineChars="200"/>
        <w:rPr>
          <w:rFonts w:hint="eastAsia" w:ascii="仿宋_GB2312" w:hAnsi="仿宋" w:eastAsia="仿宋_GB2312" w:cs="宋体"/>
          <w:kern w:val="0"/>
          <w:sz w:val="30"/>
          <w:szCs w:val="30"/>
        </w:rPr>
      </w:pPr>
      <w:r>
        <w:rPr>
          <w:rFonts w:hint="eastAsia" w:ascii="仿宋_GB2312" w:hAnsi="Times New Roman" w:eastAsia="仿宋_GB2312"/>
          <w:kern w:val="0"/>
          <w:sz w:val="30"/>
          <w:szCs w:val="30"/>
        </w:rPr>
        <w:t>从事土壤污染状况调查和土壤污染风险评估、风险管控、修复、风险管控效果评估、修复效果评估等活动的单位，对其出具的调查报告、风险评估报告、风险管控效果评估报告、修复效果评估报告的真实性、准确性、完整性负责，并按照约定对风险管控、修复、后期管理等活动结果负责。</w:t>
      </w:r>
    </w:p>
    <w:p>
      <w:pPr>
        <w:adjustRightInd w:val="0"/>
        <w:snapToGrid w:val="0"/>
        <w:jc w:val="left"/>
        <w:rPr>
          <w:rFonts w:ascii="黑体" w:hAnsi="黑体" w:eastAsia="黑体"/>
          <w:sz w:val="32"/>
          <w:szCs w:val="32"/>
        </w:rPr>
      </w:pPr>
      <w:r>
        <w:rPr>
          <w:rFonts w:ascii="Times New Roman" w:hAnsi="Times New Roman"/>
          <w:kern w:val="0"/>
          <w:sz w:val="32"/>
          <w:szCs w:val="32"/>
        </w:rPr>
        <w:br w:type="page"/>
      </w:r>
      <w:r>
        <w:rPr>
          <w:rFonts w:hint="eastAsia" w:ascii="黑体" w:hAnsi="黑体" w:eastAsia="黑体"/>
          <w:sz w:val="32"/>
          <w:szCs w:val="32"/>
        </w:rPr>
        <w:t>附</w:t>
      </w:r>
      <w:r>
        <w:rPr>
          <w:rFonts w:ascii="黑体" w:hAnsi="黑体" w:eastAsia="黑体"/>
          <w:sz w:val="32"/>
          <w:szCs w:val="32"/>
        </w:rPr>
        <w:t>1</w:t>
      </w:r>
    </w:p>
    <w:p>
      <w:pPr>
        <w:adjustRightInd w:val="0"/>
        <w:snapToGrid w:val="0"/>
        <w:spacing w:line="408" w:lineRule="auto"/>
        <w:jc w:val="left"/>
        <w:rPr>
          <w:rFonts w:ascii="黑体" w:hAnsi="黑体" w:eastAsia="黑体"/>
          <w:bCs/>
          <w:sz w:val="32"/>
          <w:szCs w:val="32"/>
        </w:rPr>
      </w:pPr>
    </w:p>
    <w:p>
      <w:pPr>
        <w:adjustRightInd w:val="0"/>
        <w:snapToGrid w:val="0"/>
        <w:jc w:val="center"/>
        <w:rPr>
          <w:rFonts w:hint="eastAsia" w:ascii="方正小标宋_GBK" w:hAnsi="华文中宋" w:eastAsia="方正小标宋_GBK"/>
          <w:bCs/>
          <w:spacing w:val="-10"/>
          <w:sz w:val="38"/>
          <w:szCs w:val="38"/>
        </w:rPr>
      </w:pPr>
      <w:r>
        <w:rPr>
          <w:rFonts w:hint="eastAsia" w:ascii="方正小标宋_GBK" w:hAnsi="华文中宋" w:eastAsia="方正小标宋_GBK"/>
          <w:bCs/>
          <w:spacing w:val="-10"/>
          <w:sz w:val="38"/>
          <w:szCs w:val="38"/>
        </w:rPr>
        <w:t>建设用地土壤污染状况调查、风险评估、</w:t>
      </w:r>
    </w:p>
    <w:p>
      <w:pPr>
        <w:adjustRightInd w:val="0"/>
        <w:snapToGrid w:val="0"/>
        <w:jc w:val="center"/>
        <w:rPr>
          <w:rFonts w:hint="eastAsia" w:ascii="方正小标宋_GBK" w:hAnsi="华文中宋" w:eastAsia="方正小标宋_GBK"/>
          <w:bCs/>
          <w:sz w:val="38"/>
          <w:szCs w:val="38"/>
        </w:rPr>
      </w:pPr>
      <w:r>
        <w:rPr>
          <w:rFonts w:hint="eastAsia" w:ascii="方正小标宋_GBK" w:hAnsi="华文中宋" w:eastAsia="方正小标宋_GBK"/>
          <w:bCs/>
          <w:spacing w:val="10"/>
          <w:sz w:val="38"/>
          <w:szCs w:val="38"/>
        </w:rPr>
        <w:t>风险管控及修复效果评估报告评审申请</w:t>
      </w:r>
      <w:r>
        <w:rPr>
          <w:rFonts w:hint="eastAsia" w:ascii="方正小标宋_GBK" w:hAnsi="华文中宋" w:eastAsia="方正小标宋_GBK"/>
          <w:bCs/>
          <w:sz w:val="38"/>
          <w:szCs w:val="38"/>
        </w:rPr>
        <w:t>表</w:t>
      </w:r>
      <w:r>
        <w:rPr>
          <w:rFonts w:ascii="方正小标宋_GBK" w:hAnsi="华文中宋" w:eastAsia="方正小标宋_GBK"/>
          <w:bCs/>
          <w:sz w:val="38"/>
          <w:szCs w:val="38"/>
        </w:rPr>
        <w:t xml:space="preserve"> </w:t>
      </w:r>
    </w:p>
    <w:p>
      <w:pPr>
        <w:adjustRightInd w:val="0"/>
        <w:snapToGrid w:val="0"/>
        <w:spacing w:line="408" w:lineRule="auto"/>
        <w:jc w:val="left"/>
        <w:rPr>
          <w:rFonts w:hint="eastAsia" w:ascii="黑体" w:hAnsi="黑体" w:eastAsia="黑体"/>
          <w:bCs/>
          <w:sz w:val="32"/>
          <w:szCs w:val="32"/>
        </w:rPr>
      </w:pPr>
    </w:p>
    <w:tbl>
      <w:tblPr>
        <w:tblStyle w:val="8"/>
        <w:tblW w:w="8795" w:type="dxa"/>
        <w:jc w:val="center"/>
        <w:tblInd w:w="0" w:type="dxa"/>
        <w:tblLayout w:type="fixed"/>
        <w:tblCellMar>
          <w:top w:w="0" w:type="dxa"/>
          <w:left w:w="108" w:type="dxa"/>
          <w:bottom w:w="0" w:type="dxa"/>
          <w:right w:w="108" w:type="dxa"/>
        </w:tblCellMar>
      </w:tblPr>
      <w:tblGrid>
        <w:gridCol w:w="2273"/>
        <w:gridCol w:w="974"/>
        <w:gridCol w:w="1431"/>
        <w:gridCol w:w="1276"/>
        <w:gridCol w:w="1134"/>
        <w:gridCol w:w="1707"/>
      </w:tblGrid>
      <w:tr>
        <w:tblPrEx>
          <w:tblLayout w:type="fixed"/>
          <w:tblCellMar>
            <w:top w:w="0" w:type="dxa"/>
            <w:left w:w="108" w:type="dxa"/>
            <w:bottom w:w="0" w:type="dxa"/>
            <w:right w:w="108" w:type="dxa"/>
          </w:tblCellMar>
        </w:tblPrEx>
        <w:trPr>
          <w:trHeight w:val="427" w:hRule="atLeast"/>
          <w:jc w:val="center"/>
        </w:trPr>
        <w:tc>
          <w:tcPr>
            <w:tcW w:w="2273" w:type="dxa"/>
            <w:tcBorders>
              <w:top w:val="single" w:color="auto" w:sz="8"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spacing w:val="-20"/>
                <w:kern w:val="0"/>
                <w:szCs w:val="21"/>
              </w:rPr>
              <w:t>项目名称</w:t>
            </w:r>
          </w:p>
        </w:tc>
        <w:tc>
          <w:tcPr>
            <w:tcW w:w="6522" w:type="dxa"/>
            <w:gridSpan w:val="5"/>
            <w:tcBorders>
              <w:top w:val="single" w:color="auto" w:sz="8" w:space="0"/>
              <w:left w:val="single" w:color="auto" w:sz="4" w:space="0"/>
              <w:bottom w:val="single" w:color="auto" w:sz="4" w:space="0"/>
              <w:right w:val="single" w:color="auto" w:sz="8" w:space="0"/>
            </w:tcBorders>
            <w:noWrap w:val="0"/>
            <w:vAlign w:val="center"/>
          </w:tcPr>
          <w:p>
            <w:pPr>
              <w:widowControl/>
              <w:adjustRightInd w:val="0"/>
              <w:snapToGrid w:val="0"/>
              <w:jc w:val="center"/>
              <w:rPr>
                <w:rFonts w:ascii="宋体" w:hAnsi="宋体"/>
                <w:kern w:val="0"/>
                <w:szCs w:val="21"/>
              </w:rPr>
            </w:pPr>
          </w:p>
        </w:tc>
      </w:tr>
      <w:tr>
        <w:tblPrEx>
          <w:tblLayout w:type="fixed"/>
          <w:tblCellMar>
            <w:top w:w="0" w:type="dxa"/>
            <w:left w:w="108" w:type="dxa"/>
            <w:bottom w:w="0" w:type="dxa"/>
            <w:right w:w="108" w:type="dxa"/>
          </w:tblCellMar>
        </w:tblPrEx>
        <w:trPr>
          <w:trHeight w:val="567" w:hRule="atLeast"/>
          <w:jc w:val="center"/>
        </w:trPr>
        <w:tc>
          <w:tcPr>
            <w:tcW w:w="2273" w:type="dxa"/>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spacing w:val="-20"/>
                <w:kern w:val="0"/>
                <w:szCs w:val="21"/>
              </w:rPr>
            </w:pPr>
            <w:r>
              <w:rPr>
                <w:rFonts w:hint="eastAsia" w:ascii="宋体" w:hAnsi="宋体"/>
                <w:spacing w:val="-20"/>
                <w:kern w:val="0"/>
                <w:szCs w:val="21"/>
              </w:rPr>
              <w:t>报告类型</w:t>
            </w:r>
          </w:p>
        </w:tc>
        <w:tc>
          <w:tcPr>
            <w:tcW w:w="6522" w:type="dxa"/>
            <w:gridSpan w:val="5"/>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left"/>
              <w:rPr>
                <w:rFonts w:ascii="宋体" w:hAnsi="宋体"/>
                <w:kern w:val="0"/>
                <w:szCs w:val="21"/>
              </w:rPr>
            </w:pPr>
            <w:r>
              <w:rPr>
                <w:rFonts w:hint="eastAsia" w:ascii="宋体" w:hAnsi="宋体"/>
                <w:kern w:val="0"/>
                <w:szCs w:val="21"/>
              </w:rPr>
              <w:t>□土壤污染状况调查</w:t>
            </w:r>
          </w:p>
          <w:p>
            <w:pPr>
              <w:widowControl/>
              <w:adjustRightInd w:val="0"/>
              <w:snapToGrid w:val="0"/>
              <w:jc w:val="left"/>
              <w:rPr>
                <w:rFonts w:ascii="宋体" w:hAnsi="宋体"/>
                <w:kern w:val="0"/>
                <w:szCs w:val="21"/>
              </w:rPr>
            </w:pPr>
            <w:r>
              <w:rPr>
                <w:rFonts w:hint="eastAsia" w:ascii="宋体" w:hAnsi="宋体"/>
                <w:kern w:val="0"/>
                <w:szCs w:val="21"/>
              </w:rPr>
              <w:t>□土壤污染风险评估</w:t>
            </w:r>
          </w:p>
          <w:p>
            <w:pPr>
              <w:widowControl/>
              <w:adjustRightInd w:val="0"/>
              <w:snapToGrid w:val="0"/>
              <w:jc w:val="left"/>
              <w:rPr>
                <w:rFonts w:ascii="宋体" w:hAnsi="宋体"/>
                <w:kern w:val="0"/>
                <w:szCs w:val="21"/>
              </w:rPr>
            </w:pPr>
            <w:r>
              <w:rPr>
                <w:rFonts w:hint="eastAsia" w:ascii="宋体" w:hAnsi="宋体"/>
                <w:kern w:val="0"/>
                <w:szCs w:val="21"/>
              </w:rPr>
              <w:t>□土壤污染风险管控效果评估</w:t>
            </w:r>
            <w:r>
              <w:rPr>
                <w:rFonts w:ascii="宋体" w:hAnsi="宋体"/>
                <w:kern w:val="0"/>
                <w:szCs w:val="21"/>
              </w:rPr>
              <w:t xml:space="preserve">  </w:t>
            </w:r>
          </w:p>
          <w:p>
            <w:pPr>
              <w:widowControl/>
              <w:adjustRightInd w:val="0"/>
              <w:snapToGrid w:val="0"/>
              <w:jc w:val="left"/>
              <w:rPr>
                <w:rFonts w:ascii="宋体" w:hAnsi="宋体"/>
                <w:kern w:val="0"/>
                <w:szCs w:val="21"/>
              </w:rPr>
            </w:pPr>
            <w:r>
              <w:rPr>
                <w:rFonts w:hint="eastAsia" w:ascii="宋体" w:hAnsi="宋体"/>
                <w:kern w:val="0"/>
                <w:szCs w:val="21"/>
              </w:rPr>
              <w:t>□土壤污染修复效果评估</w:t>
            </w:r>
          </w:p>
        </w:tc>
      </w:tr>
      <w:tr>
        <w:tblPrEx>
          <w:tblLayout w:type="fixed"/>
          <w:tblCellMar>
            <w:top w:w="0" w:type="dxa"/>
            <w:left w:w="108" w:type="dxa"/>
            <w:bottom w:w="0" w:type="dxa"/>
            <w:right w:w="108" w:type="dxa"/>
          </w:tblCellMar>
        </w:tblPrEx>
        <w:trPr>
          <w:trHeight w:val="442" w:hRule="atLeast"/>
          <w:jc w:val="center"/>
        </w:trPr>
        <w:tc>
          <w:tcPr>
            <w:tcW w:w="2273" w:type="dxa"/>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联系人</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联系电话</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电子</w:t>
            </w:r>
          </w:p>
          <w:p>
            <w:pPr>
              <w:widowControl/>
              <w:adjustRightInd w:val="0"/>
              <w:snapToGrid w:val="0"/>
              <w:jc w:val="center"/>
              <w:rPr>
                <w:rFonts w:ascii="宋体" w:hAnsi="宋体"/>
                <w:kern w:val="0"/>
                <w:szCs w:val="21"/>
              </w:rPr>
            </w:pPr>
            <w:r>
              <w:rPr>
                <w:rFonts w:hint="eastAsia" w:ascii="宋体" w:hAnsi="宋体"/>
                <w:kern w:val="0"/>
                <w:szCs w:val="21"/>
              </w:rPr>
              <w:t>邮箱</w:t>
            </w:r>
          </w:p>
        </w:tc>
        <w:tc>
          <w:tcPr>
            <w:tcW w:w="1707" w:type="dxa"/>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center"/>
              <w:rPr>
                <w:rFonts w:ascii="宋体" w:hAnsi="宋体"/>
                <w:kern w:val="0"/>
                <w:szCs w:val="21"/>
              </w:rPr>
            </w:pPr>
          </w:p>
        </w:tc>
      </w:tr>
      <w:tr>
        <w:tblPrEx>
          <w:tblLayout w:type="fixed"/>
          <w:tblCellMar>
            <w:top w:w="0" w:type="dxa"/>
            <w:left w:w="108" w:type="dxa"/>
            <w:bottom w:w="0" w:type="dxa"/>
            <w:right w:w="108" w:type="dxa"/>
          </w:tblCellMar>
        </w:tblPrEx>
        <w:trPr>
          <w:trHeight w:val="776" w:hRule="atLeast"/>
          <w:jc w:val="center"/>
        </w:trPr>
        <w:tc>
          <w:tcPr>
            <w:tcW w:w="2273" w:type="dxa"/>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地块类型</w:t>
            </w:r>
          </w:p>
        </w:tc>
        <w:tc>
          <w:tcPr>
            <w:tcW w:w="6522" w:type="dxa"/>
            <w:gridSpan w:val="5"/>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left"/>
              <w:rPr>
                <w:rFonts w:ascii="宋体" w:hAnsi="宋体"/>
                <w:kern w:val="0"/>
                <w:szCs w:val="21"/>
              </w:rPr>
            </w:pPr>
            <w:r>
              <w:rPr>
                <w:rFonts w:hint="eastAsia" w:ascii="宋体" w:hAnsi="宋体"/>
                <w:kern w:val="0"/>
                <w:szCs w:val="21"/>
              </w:rPr>
              <w:t>□经土壤污染状况普查、详查、监测、现场检查等方式，表明有土壤污染风险</w:t>
            </w:r>
          </w:p>
          <w:p>
            <w:pPr>
              <w:widowControl/>
              <w:adjustRightInd w:val="0"/>
              <w:snapToGrid w:val="0"/>
              <w:jc w:val="left"/>
              <w:rPr>
                <w:rFonts w:ascii="宋体" w:hAnsi="宋体"/>
                <w:kern w:val="0"/>
                <w:szCs w:val="21"/>
              </w:rPr>
            </w:pPr>
            <w:r>
              <w:rPr>
                <w:rFonts w:hint="eastAsia" w:ascii="宋体" w:hAnsi="宋体"/>
                <w:kern w:val="0"/>
                <w:szCs w:val="21"/>
              </w:rPr>
              <w:t>□用途变更为住宅、公共管理、公共服务用地</w:t>
            </w:r>
          </w:p>
        </w:tc>
      </w:tr>
      <w:tr>
        <w:tblPrEx>
          <w:tblLayout w:type="fixed"/>
          <w:tblCellMar>
            <w:top w:w="0" w:type="dxa"/>
            <w:left w:w="108" w:type="dxa"/>
            <w:bottom w:w="0" w:type="dxa"/>
            <w:right w:w="108" w:type="dxa"/>
          </w:tblCellMar>
        </w:tblPrEx>
        <w:trPr>
          <w:trHeight w:val="567" w:hRule="atLeast"/>
          <w:jc w:val="center"/>
        </w:trPr>
        <w:tc>
          <w:tcPr>
            <w:tcW w:w="2273" w:type="dxa"/>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spacing w:val="-4"/>
                <w:kern w:val="0"/>
                <w:szCs w:val="21"/>
              </w:rPr>
            </w:pPr>
            <w:r>
              <w:rPr>
                <w:rFonts w:hint="eastAsia" w:ascii="宋体" w:hAnsi="宋体"/>
                <w:spacing w:val="-4"/>
                <w:kern w:val="0"/>
                <w:szCs w:val="21"/>
              </w:rPr>
              <w:t>土地使用权取得时间（地方人民政府以及有关部门申请的，填写土地使用权收回时间）</w:t>
            </w:r>
          </w:p>
        </w:tc>
        <w:tc>
          <w:tcPr>
            <w:tcW w:w="2405"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ascii="宋体" w:hAnsi="宋体"/>
                <w:kern w:val="0"/>
                <w:szCs w:val="21"/>
              </w:rPr>
              <w:t xml:space="preserve">  </w:t>
            </w:r>
            <w:r>
              <w:rPr>
                <w:rFonts w:hint="eastAsia" w:ascii="宋体" w:hAnsi="宋体"/>
                <w:kern w:val="0"/>
                <w:szCs w:val="21"/>
              </w:rPr>
              <w:t>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前土地使用权人</w:t>
            </w:r>
          </w:p>
        </w:tc>
        <w:tc>
          <w:tcPr>
            <w:tcW w:w="1707" w:type="dxa"/>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center"/>
              <w:rPr>
                <w:rFonts w:ascii="宋体" w:hAnsi="宋体"/>
                <w:kern w:val="0"/>
                <w:szCs w:val="21"/>
              </w:rPr>
            </w:pPr>
          </w:p>
        </w:tc>
      </w:tr>
      <w:tr>
        <w:tblPrEx>
          <w:tblLayout w:type="fixed"/>
          <w:tblCellMar>
            <w:top w:w="0" w:type="dxa"/>
            <w:left w:w="108" w:type="dxa"/>
            <w:bottom w:w="0" w:type="dxa"/>
            <w:right w:w="108" w:type="dxa"/>
          </w:tblCellMar>
        </w:tblPrEx>
        <w:trPr>
          <w:trHeight w:val="567" w:hRule="atLeast"/>
          <w:jc w:val="center"/>
        </w:trPr>
        <w:tc>
          <w:tcPr>
            <w:tcW w:w="2273"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建设用地地点</w:t>
            </w:r>
          </w:p>
        </w:tc>
        <w:tc>
          <w:tcPr>
            <w:tcW w:w="6522" w:type="dxa"/>
            <w:gridSpan w:val="5"/>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left"/>
              <w:rPr>
                <w:rFonts w:ascii="宋体" w:hAnsi="宋体"/>
                <w:kern w:val="0"/>
                <w:szCs w:val="21"/>
              </w:rPr>
            </w:pPr>
            <w:r>
              <w:rPr>
                <w:rFonts w:ascii="宋体" w:hAnsi="宋体"/>
                <w:kern w:val="0"/>
                <w:szCs w:val="21"/>
              </w:rPr>
              <w:t>_____</w:t>
            </w:r>
            <w:r>
              <w:rPr>
                <w:rFonts w:hint="eastAsia" w:ascii="宋体" w:hAnsi="宋体"/>
                <w:kern w:val="0"/>
                <w:szCs w:val="21"/>
              </w:rPr>
              <w:t>省</w:t>
            </w:r>
            <w:r>
              <w:rPr>
                <w:rFonts w:ascii="宋体" w:hAnsi="宋体"/>
                <w:kern w:val="0"/>
                <w:szCs w:val="21"/>
              </w:rPr>
              <w:t>(</w:t>
            </w:r>
            <w:r>
              <w:rPr>
                <w:rFonts w:hint="eastAsia" w:ascii="宋体" w:hAnsi="宋体"/>
                <w:kern w:val="0"/>
                <w:szCs w:val="21"/>
              </w:rPr>
              <w:t>区、市</w:t>
            </w:r>
            <w:r>
              <w:rPr>
                <w:rFonts w:ascii="宋体" w:hAnsi="宋体"/>
                <w:kern w:val="0"/>
                <w:szCs w:val="21"/>
              </w:rPr>
              <w:t>) _____</w:t>
            </w:r>
            <w:r>
              <w:rPr>
                <w:rFonts w:hint="eastAsia" w:ascii="宋体" w:hAnsi="宋体"/>
                <w:kern w:val="0"/>
                <w:szCs w:val="21"/>
              </w:rPr>
              <w:t>地区（市、州、盟）</w:t>
            </w:r>
            <w:r>
              <w:rPr>
                <w:rFonts w:ascii="宋体" w:hAnsi="宋体"/>
                <w:kern w:val="0"/>
                <w:szCs w:val="21"/>
              </w:rPr>
              <w:t xml:space="preserve">_____     </w:t>
            </w:r>
            <w:r>
              <w:rPr>
                <w:rFonts w:hint="eastAsia" w:ascii="宋体" w:hAnsi="宋体"/>
                <w:kern w:val="0"/>
                <w:szCs w:val="21"/>
              </w:rPr>
              <w:t>县</w:t>
            </w:r>
            <w:r>
              <w:rPr>
                <w:rFonts w:ascii="宋体" w:hAnsi="宋体"/>
                <w:kern w:val="0"/>
                <w:szCs w:val="21"/>
              </w:rPr>
              <w:t>(</w:t>
            </w:r>
            <w:r>
              <w:rPr>
                <w:rFonts w:hint="eastAsia" w:ascii="宋体" w:hAnsi="宋体"/>
                <w:kern w:val="0"/>
                <w:szCs w:val="21"/>
              </w:rPr>
              <w:t>区、市、旗</w:t>
            </w:r>
            <w:r>
              <w:rPr>
                <w:rFonts w:ascii="宋体" w:hAnsi="宋体"/>
                <w:kern w:val="0"/>
                <w:szCs w:val="21"/>
              </w:rPr>
              <w:t>) _____</w:t>
            </w:r>
            <w:r>
              <w:rPr>
                <w:rFonts w:hint="eastAsia" w:ascii="宋体" w:hAnsi="宋体"/>
                <w:kern w:val="0"/>
                <w:szCs w:val="21"/>
              </w:rPr>
              <w:t>乡</w:t>
            </w:r>
            <w:r>
              <w:rPr>
                <w:rFonts w:ascii="宋体" w:hAnsi="宋体"/>
                <w:kern w:val="0"/>
                <w:szCs w:val="21"/>
              </w:rPr>
              <w:t>(</w:t>
            </w:r>
            <w:r>
              <w:rPr>
                <w:rFonts w:hint="eastAsia" w:ascii="宋体" w:hAnsi="宋体"/>
                <w:kern w:val="0"/>
                <w:szCs w:val="21"/>
              </w:rPr>
              <w:t>镇</w:t>
            </w:r>
            <w:r>
              <w:rPr>
                <w:rFonts w:ascii="宋体" w:hAnsi="宋体"/>
                <w:kern w:val="0"/>
                <w:szCs w:val="21"/>
              </w:rPr>
              <w:t>) __________</w:t>
            </w:r>
            <w:r>
              <w:rPr>
                <w:rFonts w:hint="eastAsia" w:ascii="宋体" w:hAnsi="宋体"/>
                <w:kern w:val="0"/>
                <w:szCs w:val="21"/>
              </w:rPr>
              <w:t>街</w:t>
            </w:r>
            <w:r>
              <w:rPr>
                <w:rFonts w:ascii="宋体" w:hAnsi="宋体"/>
                <w:kern w:val="0"/>
                <w:szCs w:val="21"/>
              </w:rPr>
              <w:t>(</w:t>
            </w:r>
            <w:r>
              <w:rPr>
                <w:rFonts w:hint="eastAsia" w:ascii="宋体" w:hAnsi="宋体"/>
                <w:kern w:val="0"/>
                <w:szCs w:val="21"/>
              </w:rPr>
              <w:t>村</w:t>
            </w:r>
            <w:r>
              <w:rPr>
                <w:rFonts w:ascii="宋体" w:hAnsi="宋体"/>
                <w:kern w:val="0"/>
                <w:szCs w:val="21"/>
              </w:rPr>
              <w:t>)</w:t>
            </w:r>
            <w:r>
              <w:rPr>
                <w:rFonts w:hint="eastAsia" w:ascii="宋体" w:hAnsi="宋体"/>
                <w:kern w:val="0"/>
                <w:szCs w:val="21"/>
              </w:rPr>
              <w:t>、门牌号</w:t>
            </w:r>
          </w:p>
        </w:tc>
      </w:tr>
      <w:tr>
        <w:tblPrEx>
          <w:tblLayout w:type="fixed"/>
          <w:tblCellMar>
            <w:top w:w="0" w:type="dxa"/>
            <w:left w:w="108" w:type="dxa"/>
            <w:bottom w:w="0" w:type="dxa"/>
            <w:right w:w="108" w:type="dxa"/>
          </w:tblCellMar>
        </w:tblPrEx>
        <w:trPr>
          <w:trHeight w:val="567" w:hRule="atLeast"/>
          <w:jc w:val="center"/>
        </w:trPr>
        <w:tc>
          <w:tcPr>
            <w:tcW w:w="2273"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p>
        </w:tc>
        <w:tc>
          <w:tcPr>
            <w:tcW w:w="6522" w:type="dxa"/>
            <w:gridSpan w:val="5"/>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left"/>
              <w:rPr>
                <w:rFonts w:ascii="宋体" w:hAnsi="宋体"/>
                <w:kern w:val="0"/>
                <w:szCs w:val="21"/>
              </w:rPr>
            </w:pPr>
            <w:r>
              <w:rPr>
                <w:rFonts w:hint="eastAsia" w:ascii="宋体" w:hAnsi="宋体"/>
                <w:kern w:val="0"/>
                <w:szCs w:val="21"/>
              </w:rPr>
              <w:t>经度：</w:t>
            </w:r>
            <w:r>
              <w:rPr>
                <w:rFonts w:ascii="宋体" w:hAnsi="宋体"/>
                <w:kern w:val="0"/>
                <w:szCs w:val="21"/>
              </w:rPr>
              <w:t xml:space="preserve">_____° </w:t>
            </w:r>
            <w:r>
              <w:rPr>
                <w:rFonts w:hint="eastAsia" w:ascii="宋体" w:hAnsi="宋体"/>
                <w:kern w:val="0"/>
                <w:szCs w:val="21"/>
              </w:rPr>
              <w:t>纬度：</w:t>
            </w:r>
            <w:r>
              <w:rPr>
                <w:rFonts w:ascii="宋体" w:hAnsi="宋体"/>
                <w:kern w:val="0"/>
                <w:szCs w:val="21"/>
              </w:rPr>
              <w:t xml:space="preserve"> _____°</w:t>
            </w:r>
          </w:p>
          <w:p>
            <w:pPr>
              <w:widowControl/>
              <w:adjustRightInd w:val="0"/>
              <w:snapToGrid w:val="0"/>
              <w:jc w:val="left"/>
              <w:rPr>
                <w:rFonts w:ascii="宋体" w:hAnsi="宋体"/>
                <w:kern w:val="0"/>
                <w:szCs w:val="21"/>
              </w:rPr>
            </w:pPr>
            <w:r>
              <w:rPr>
                <w:rFonts w:ascii="宋体" w:hAnsi="宋体" w:cs="宋体"/>
                <w:color w:val="000000"/>
                <w:kern w:val="0"/>
                <w:szCs w:val="21"/>
              </w:rPr>
              <w:t></w:t>
            </w:r>
            <w:r>
              <w:rPr>
                <w:rFonts w:hint="eastAsia" w:ascii="宋体" w:hAnsi="宋体"/>
                <w:kern w:val="0"/>
                <w:szCs w:val="21"/>
              </w:rPr>
              <w:t>□</w:t>
            </w:r>
            <w:r>
              <w:rPr>
                <w:rFonts w:hint="eastAsia" w:ascii="宋体" w:hAnsi="宋体" w:cs="宋体"/>
                <w:color w:val="000000"/>
                <w:kern w:val="0"/>
                <w:szCs w:val="21"/>
              </w:rPr>
              <w:t>项目中心</w:t>
            </w:r>
            <w:r>
              <w:rPr>
                <w:rFonts w:ascii="宋体" w:hAnsi="宋体" w:cs="宋体"/>
                <w:color w:val="000000"/>
                <w:kern w:val="0"/>
                <w:szCs w:val="21"/>
              </w:rPr>
              <w:t xml:space="preserve"> </w:t>
            </w:r>
            <w:r>
              <w:rPr>
                <w:rFonts w:hint="eastAsia" w:ascii="宋体" w:hAnsi="宋体"/>
                <w:kern w:val="0"/>
                <w:szCs w:val="21"/>
              </w:rPr>
              <w:t>□</w:t>
            </w:r>
            <w:r>
              <w:rPr>
                <w:rFonts w:hint="eastAsia" w:ascii="宋体" w:hAnsi="宋体" w:cs="宋体"/>
                <w:color w:val="000000"/>
                <w:kern w:val="0"/>
                <w:szCs w:val="21"/>
              </w:rPr>
              <w:t>其他（简要说明）</w:t>
            </w:r>
          </w:p>
        </w:tc>
      </w:tr>
      <w:tr>
        <w:tblPrEx>
          <w:tblLayout w:type="fixed"/>
          <w:tblCellMar>
            <w:top w:w="0" w:type="dxa"/>
            <w:left w:w="108" w:type="dxa"/>
            <w:bottom w:w="0" w:type="dxa"/>
            <w:right w:w="108" w:type="dxa"/>
          </w:tblCellMar>
        </w:tblPrEx>
        <w:trPr>
          <w:trHeight w:val="483" w:hRule="atLeast"/>
          <w:jc w:val="center"/>
        </w:trPr>
        <w:tc>
          <w:tcPr>
            <w:tcW w:w="2273" w:type="dxa"/>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四至范围</w:t>
            </w:r>
          </w:p>
        </w:tc>
        <w:tc>
          <w:tcPr>
            <w:tcW w:w="3681"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adjustRightInd w:val="0"/>
              <w:snapToGrid w:val="0"/>
              <w:jc w:val="center"/>
              <w:rPr>
                <w:rFonts w:ascii="宋体" w:hAnsi="宋体"/>
                <w:spacing w:val="-20"/>
                <w:kern w:val="0"/>
                <w:szCs w:val="21"/>
              </w:rPr>
            </w:pPr>
            <w:r>
              <w:rPr>
                <w:rFonts w:hint="eastAsia" w:ascii="宋体" w:hAnsi="宋体"/>
                <w:spacing w:val="-20"/>
                <w:kern w:val="0"/>
                <w:szCs w:val="21"/>
              </w:rPr>
              <w:t>占地面积（</w:t>
            </w:r>
            <w:r>
              <w:rPr>
                <w:rFonts w:ascii="宋体" w:hAnsi="宋体"/>
                <w:spacing w:val="-20"/>
                <w:kern w:val="0"/>
                <w:szCs w:val="21"/>
              </w:rPr>
              <w:t>m</w:t>
            </w:r>
            <w:r>
              <w:rPr>
                <w:rFonts w:ascii="宋体" w:hAnsi="宋体"/>
                <w:spacing w:val="-20"/>
                <w:kern w:val="0"/>
                <w:szCs w:val="21"/>
                <w:vertAlign w:val="superscript"/>
              </w:rPr>
              <w:t>2</w:t>
            </w:r>
            <w:r>
              <w:rPr>
                <w:rFonts w:hint="eastAsia" w:ascii="宋体" w:hAnsi="宋体"/>
                <w:spacing w:val="-20"/>
                <w:kern w:val="0"/>
                <w:szCs w:val="21"/>
              </w:rPr>
              <w:t>）</w:t>
            </w:r>
          </w:p>
        </w:tc>
        <w:tc>
          <w:tcPr>
            <w:tcW w:w="1707" w:type="dxa"/>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center"/>
              <w:rPr>
                <w:rFonts w:ascii="宋体" w:hAnsi="宋体"/>
                <w:kern w:val="0"/>
                <w:szCs w:val="21"/>
              </w:rPr>
            </w:pPr>
          </w:p>
        </w:tc>
      </w:tr>
      <w:tr>
        <w:tblPrEx>
          <w:tblLayout w:type="fixed"/>
          <w:tblCellMar>
            <w:top w:w="0" w:type="dxa"/>
            <w:left w:w="108" w:type="dxa"/>
            <w:bottom w:w="0" w:type="dxa"/>
            <w:right w:w="108" w:type="dxa"/>
          </w:tblCellMar>
        </w:tblPrEx>
        <w:trPr>
          <w:trHeight w:val="567" w:hRule="atLeast"/>
          <w:jc w:val="center"/>
        </w:trPr>
        <w:tc>
          <w:tcPr>
            <w:tcW w:w="2273" w:type="dxa"/>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行业类别（现状为工矿用地的填写该栏）</w:t>
            </w:r>
          </w:p>
        </w:tc>
        <w:tc>
          <w:tcPr>
            <w:tcW w:w="6522" w:type="dxa"/>
            <w:gridSpan w:val="5"/>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left"/>
              <w:rPr>
                <w:rFonts w:ascii="宋体" w:hAnsi="宋体"/>
                <w:kern w:val="0"/>
                <w:szCs w:val="21"/>
              </w:rPr>
            </w:pPr>
            <w:r>
              <w:rPr>
                <w:rFonts w:hint="eastAsia" w:ascii="宋体" w:hAnsi="宋体"/>
                <w:kern w:val="0"/>
                <w:szCs w:val="21"/>
              </w:rPr>
              <w:t>□有色金属冶炼□石油加工□化工□焦化□电镀</w:t>
            </w:r>
          </w:p>
          <w:p>
            <w:pPr>
              <w:widowControl/>
              <w:adjustRightInd w:val="0"/>
              <w:snapToGrid w:val="0"/>
              <w:jc w:val="left"/>
              <w:rPr>
                <w:rFonts w:ascii="宋体" w:hAnsi="宋体"/>
                <w:kern w:val="0"/>
                <w:szCs w:val="21"/>
              </w:rPr>
            </w:pPr>
            <w:r>
              <w:rPr>
                <w:rFonts w:hint="eastAsia" w:ascii="宋体" w:hAnsi="宋体"/>
                <w:kern w:val="0"/>
                <w:szCs w:val="21"/>
              </w:rPr>
              <w:t>□制革</w:t>
            </w:r>
            <w:r>
              <w:rPr>
                <w:rFonts w:ascii="宋体" w:hAnsi="宋体"/>
                <w:kern w:val="0"/>
                <w:szCs w:val="21"/>
              </w:rPr>
              <w:t xml:space="preserve"> </w:t>
            </w:r>
            <w:r>
              <w:rPr>
                <w:rFonts w:hint="eastAsia" w:ascii="宋体" w:hAnsi="宋体"/>
                <w:kern w:val="0"/>
                <w:szCs w:val="21"/>
              </w:rPr>
              <w:t>□危险废物贮存、利用、处置活动用地</w:t>
            </w:r>
            <w:r>
              <w:rPr>
                <w:rFonts w:ascii="宋体" w:hAnsi="宋体"/>
                <w:kern w:val="0"/>
                <w:szCs w:val="21"/>
              </w:rPr>
              <w:t xml:space="preserve"> </w:t>
            </w:r>
          </w:p>
          <w:p>
            <w:pPr>
              <w:widowControl/>
              <w:adjustRightInd w:val="0"/>
              <w:snapToGrid w:val="0"/>
              <w:jc w:val="left"/>
              <w:rPr>
                <w:rFonts w:ascii="宋体" w:hAnsi="宋体"/>
                <w:kern w:val="0"/>
                <w:szCs w:val="21"/>
              </w:rPr>
            </w:pPr>
            <w:r>
              <w:rPr>
                <w:rFonts w:hint="eastAsia" w:ascii="宋体" w:hAnsi="宋体"/>
                <w:kern w:val="0"/>
                <w:szCs w:val="21"/>
              </w:rPr>
              <w:t>□其他</w:t>
            </w:r>
            <w:r>
              <w:rPr>
                <w:rFonts w:ascii="宋体" w:hAnsi="宋体"/>
                <w:kern w:val="0"/>
                <w:szCs w:val="21"/>
              </w:rPr>
              <w:t>_____</w:t>
            </w:r>
          </w:p>
        </w:tc>
      </w:tr>
      <w:tr>
        <w:tblPrEx>
          <w:tblLayout w:type="fixed"/>
          <w:tblCellMar>
            <w:top w:w="0" w:type="dxa"/>
            <w:left w:w="108" w:type="dxa"/>
            <w:bottom w:w="0" w:type="dxa"/>
            <w:right w:w="108" w:type="dxa"/>
          </w:tblCellMar>
        </w:tblPrEx>
        <w:trPr>
          <w:trHeight w:val="567" w:hRule="atLeast"/>
          <w:jc w:val="center"/>
        </w:trPr>
        <w:tc>
          <w:tcPr>
            <w:tcW w:w="2273" w:type="dxa"/>
            <w:tcBorders>
              <w:top w:val="single" w:color="auto" w:sz="4"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规划用途</w:t>
            </w:r>
          </w:p>
        </w:tc>
        <w:tc>
          <w:tcPr>
            <w:tcW w:w="6522" w:type="dxa"/>
            <w:gridSpan w:val="5"/>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left"/>
              <w:rPr>
                <w:rFonts w:ascii="宋体" w:hAnsi="宋体"/>
                <w:kern w:val="0"/>
                <w:szCs w:val="21"/>
              </w:rPr>
            </w:pPr>
            <w:r>
              <w:rPr>
                <w:rFonts w:hint="eastAsia" w:ascii="宋体" w:hAnsi="宋体"/>
                <w:kern w:val="0"/>
                <w:szCs w:val="21"/>
              </w:rPr>
              <w:t>□第一类用地：包括</w:t>
            </w:r>
            <w:r>
              <w:rPr>
                <w:rFonts w:ascii="宋体" w:hAnsi="宋体"/>
                <w:kern w:val="0"/>
                <w:szCs w:val="21"/>
              </w:rPr>
              <w:t>GB50137</w:t>
            </w:r>
            <w:r>
              <w:rPr>
                <w:rFonts w:hint="eastAsia" w:ascii="宋体" w:hAnsi="宋体"/>
                <w:kern w:val="0"/>
                <w:szCs w:val="21"/>
              </w:rPr>
              <w:t>规定的□居住用地</w:t>
            </w:r>
            <w:r>
              <w:rPr>
                <w:rFonts w:ascii="宋体" w:hAnsi="宋体"/>
                <w:kern w:val="0"/>
                <w:szCs w:val="21"/>
              </w:rPr>
              <w:t xml:space="preserve">R </w:t>
            </w:r>
            <w:r>
              <w:rPr>
                <w:rFonts w:hint="eastAsia" w:ascii="宋体" w:hAnsi="宋体"/>
                <w:kern w:val="0"/>
                <w:szCs w:val="21"/>
              </w:rPr>
              <w:t>□中小学用地</w:t>
            </w:r>
            <w:r>
              <w:rPr>
                <w:rFonts w:ascii="宋体" w:hAnsi="宋体"/>
                <w:kern w:val="0"/>
                <w:szCs w:val="21"/>
              </w:rPr>
              <w:t xml:space="preserve">A33 </w:t>
            </w:r>
            <w:r>
              <w:rPr>
                <w:rFonts w:hint="eastAsia" w:ascii="宋体" w:hAnsi="宋体"/>
                <w:kern w:val="0"/>
                <w:szCs w:val="21"/>
              </w:rPr>
              <w:t>□医疗卫生用地</w:t>
            </w:r>
            <w:r>
              <w:rPr>
                <w:rFonts w:ascii="宋体" w:hAnsi="宋体"/>
                <w:kern w:val="0"/>
                <w:szCs w:val="21"/>
              </w:rPr>
              <w:t xml:space="preserve">A5 </w:t>
            </w:r>
            <w:r>
              <w:rPr>
                <w:rFonts w:hint="eastAsia" w:ascii="宋体" w:hAnsi="宋体"/>
                <w:kern w:val="0"/>
                <w:szCs w:val="21"/>
              </w:rPr>
              <w:t>□社会福利设施用地</w:t>
            </w:r>
            <w:r>
              <w:rPr>
                <w:rFonts w:ascii="宋体" w:hAnsi="宋体"/>
                <w:kern w:val="0"/>
                <w:szCs w:val="21"/>
              </w:rPr>
              <w:t xml:space="preserve">A6 </w:t>
            </w:r>
            <w:r>
              <w:rPr>
                <w:rFonts w:hint="eastAsia" w:ascii="宋体" w:hAnsi="宋体"/>
                <w:kern w:val="0"/>
                <w:szCs w:val="21"/>
              </w:rPr>
              <w:t>□公园绿地</w:t>
            </w:r>
            <w:r>
              <w:rPr>
                <w:rFonts w:ascii="宋体" w:hAnsi="宋体"/>
                <w:kern w:val="0"/>
                <w:szCs w:val="21"/>
              </w:rPr>
              <w:t>G1</w:t>
            </w:r>
            <w:r>
              <w:rPr>
                <w:rFonts w:hint="eastAsia" w:ascii="宋体" w:hAnsi="宋体"/>
                <w:kern w:val="0"/>
                <w:szCs w:val="21"/>
              </w:rPr>
              <w:t>中的社区公园或儿童公园用地</w:t>
            </w:r>
          </w:p>
          <w:p>
            <w:pPr>
              <w:widowControl/>
              <w:adjustRightInd w:val="0"/>
              <w:snapToGrid w:val="0"/>
              <w:jc w:val="left"/>
              <w:rPr>
                <w:rFonts w:ascii="宋体" w:hAnsi="宋体"/>
                <w:kern w:val="0"/>
                <w:szCs w:val="21"/>
              </w:rPr>
            </w:pPr>
            <w:r>
              <w:rPr>
                <w:rFonts w:hint="eastAsia" w:ascii="宋体" w:hAnsi="宋体"/>
                <w:kern w:val="0"/>
                <w:szCs w:val="21"/>
              </w:rPr>
              <w:t>□第二类用地：包括</w:t>
            </w:r>
            <w:r>
              <w:rPr>
                <w:rFonts w:ascii="宋体" w:hAnsi="宋体"/>
                <w:kern w:val="0"/>
                <w:szCs w:val="21"/>
              </w:rPr>
              <w:t>GB50137</w:t>
            </w:r>
            <w:r>
              <w:rPr>
                <w:rFonts w:hint="eastAsia" w:ascii="宋体" w:hAnsi="宋体"/>
                <w:kern w:val="0"/>
                <w:szCs w:val="21"/>
              </w:rPr>
              <w:t>规定的□工业用地</w:t>
            </w:r>
            <w:r>
              <w:rPr>
                <w:rFonts w:ascii="宋体" w:hAnsi="宋体"/>
                <w:kern w:val="0"/>
                <w:szCs w:val="21"/>
              </w:rPr>
              <w:t xml:space="preserve">M </w:t>
            </w:r>
            <w:r>
              <w:rPr>
                <w:rFonts w:hint="eastAsia" w:ascii="宋体" w:hAnsi="宋体"/>
                <w:kern w:val="0"/>
                <w:szCs w:val="21"/>
              </w:rPr>
              <w:t>□物流仓储用地</w:t>
            </w:r>
            <w:r>
              <w:rPr>
                <w:rFonts w:ascii="宋体" w:hAnsi="宋体"/>
                <w:kern w:val="0"/>
                <w:szCs w:val="21"/>
              </w:rPr>
              <w:t xml:space="preserve">W </w:t>
            </w:r>
            <w:r>
              <w:rPr>
                <w:rFonts w:hint="eastAsia" w:ascii="宋体" w:hAnsi="宋体"/>
                <w:kern w:val="0"/>
                <w:szCs w:val="21"/>
              </w:rPr>
              <w:t>□商业服务业设施用地</w:t>
            </w:r>
            <w:r>
              <w:rPr>
                <w:rFonts w:ascii="宋体" w:hAnsi="宋体"/>
                <w:kern w:val="0"/>
                <w:szCs w:val="21"/>
              </w:rPr>
              <w:t xml:space="preserve">B </w:t>
            </w:r>
            <w:r>
              <w:rPr>
                <w:rFonts w:hint="eastAsia" w:ascii="宋体" w:hAnsi="宋体"/>
                <w:kern w:val="0"/>
                <w:szCs w:val="21"/>
              </w:rPr>
              <w:t>□道路与交通设施用地</w:t>
            </w:r>
            <w:r>
              <w:rPr>
                <w:rFonts w:ascii="宋体" w:hAnsi="宋体"/>
                <w:kern w:val="0"/>
                <w:szCs w:val="21"/>
              </w:rPr>
              <w:t xml:space="preserve">S </w:t>
            </w:r>
            <w:r>
              <w:rPr>
                <w:rFonts w:hint="eastAsia" w:ascii="宋体" w:hAnsi="宋体"/>
                <w:kern w:val="0"/>
                <w:szCs w:val="21"/>
              </w:rPr>
              <w:t>□公共设施用地</w:t>
            </w:r>
            <w:r>
              <w:rPr>
                <w:rFonts w:ascii="宋体" w:hAnsi="宋体"/>
                <w:kern w:val="0"/>
                <w:szCs w:val="21"/>
              </w:rPr>
              <w:t xml:space="preserve">U </w:t>
            </w:r>
            <w:r>
              <w:rPr>
                <w:rFonts w:hint="eastAsia" w:ascii="宋体" w:hAnsi="宋体"/>
                <w:kern w:val="0"/>
                <w:szCs w:val="21"/>
              </w:rPr>
              <w:t>□公共管理与公共服务用地</w:t>
            </w:r>
            <w:r>
              <w:rPr>
                <w:rFonts w:ascii="宋体" w:hAnsi="宋体"/>
                <w:kern w:val="0"/>
                <w:szCs w:val="21"/>
              </w:rPr>
              <w:t>A</w:t>
            </w:r>
            <w:r>
              <w:rPr>
                <w:rFonts w:hint="eastAsia" w:ascii="宋体" w:hAnsi="宋体"/>
                <w:kern w:val="0"/>
                <w:szCs w:val="21"/>
              </w:rPr>
              <w:t>（</w:t>
            </w:r>
            <w:r>
              <w:rPr>
                <w:rFonts w:ascii="宋体" w:hAnsi="宋体"/>
                <w:kern w:val="0"/>
                <w:szCs w:val="21"/>
              </w:rPr>
              <w:t>A33</w:t>
            </w:r>
            <w:r>
              <w:rPr>
                <w:rFonts w:hint="eastAsia" w:ascii="宋体" w:hAnsi="宋体"/>
                <w:kern w:val="0"/>
                <w:szCs w:val="21"/>
              </w:rPr>
              <w:t>、</w:t>
            </w:r>
            <w:r>
              <w:rPr>
                <w:rFonts w:ascii="宋体" w:hAnsi="宋体"/>
                <w:kern w:val="0"/>
                <w:szCs w:val="21"/>
              </w:rPr>
              <w:t>A5</w:t>
            </w:r>
            <w:r>
              <w:rPr>
                <w:rFonts w:hint="eastAsia" w:ascii="宋体" w:hAnsi="宋体"/>
                <w:kern w:val="0"/>
                <w:szCs w:val="21"/>
              </w:rPr>
              <w:t>、</w:t>
            </w:r>
            <w:r>
              <w:rPr>
                <w:rFonts w:ascii="宋体" w:hAnsi="宋体"/>
                <w:kern w:val="0"/>
                <w:szCs w:val="21"/>
              </w:rPr>
              <w:t>A6</w:t>
            </w:r>
            <w:r>
              <w:rPr>
                <w:rFonts w:hint="eastAsia" w:ascii="宋体" w:hAnsi="宋体"/>
                <w:kern w:val="0"/>
                <w:szCs w:val="21"/>
              </w:rPr>
              <w:t>除外）□绿地与广场用地</w:t>
            </w:r>
            <w:r>
              <w:rPr>
                <w:rFonts w:ascii="宋体" w:hAnsi="宋体"/>
                <w:kern w:val="0"/>
                <w:szCs w:val="21"/>
              </w:rPr>
              <w:t>G</w:t>
            </w:r>
            <w:r>
              <w:rPr>
                <w:rFonts w:hint="eastAsia" w:ascii="宋体" w:hAnsi="宋体"/>
                <w:kern w:val="0"/>
                <w:szCs w:val="21"/>
              </w:rPr>
              <w:t>（</w:t>
            </w:r>
            <w:r>
              <w:rPr>
                <w:rFonts w:ascii="宋体" w:hAnsi="宋体"/>
                <w:kern w:val="0"/>
                <w:szCs w:val="21"/>
              </w:rPr>
              <w:t>G1</w:t>
            </w:r>
            <w:r>
              <w:rPr>
                <w:rFonts w:hint="eastAsia" w:ascii="宋体" w:hAnsi="宋体"/>
                <w:kern w:val="0"/>
                <w:szCs w:val="21"/>
              </w:rPr>
              <w:t>中的社区公园或儿童公园用地除外）</w:t>
            </w:r>
          </w:p>
          <w:p>
            <w:pPr>
              <w:widowControl/>
              <w:adjustRightInd w:val="0"/>
              <w:snapToGrid w:val="0"/>
              <w:jc w:val="left"/>
              <w:rPr>
                <w:rFonts w:ascii="宋体" w:hAnsi="宋体"/>
                <w:kern w:val="0"/>
                <w:szCs w:val="21"/>
              </w:rPr>
            </w:pPr>
            <w:r>
              <w:rPr>
                <w:rFonts w:hint="eastAsia" w:ascii="宋体" w:hAnsi="宋体"/>
                <w:kern w:val="0"/>
                <w:szCs w:val="21"/>
              </w:rPr>
              <w:t>□不确定</w:t>
            </w:r>
          </w:p>
        </w:tc>
      </w:tr>
      <w:tr>
        <w:tblPrEx>
          <w:tblLayout w:type="fixed"/>
          <w:tblCellMar>
            <w:top w:w="0" w:type="dxa"/>
            <w:left w:w="108" w:type="dxa"/>
            <w:bottom w:w="0" w:type="dxa"/>
            <w:right w:w="108" w:type="dxa"/>
          </w:tblCellMar>
        </w:tblPrEx>
        <w:trPr>
          <w:trHeight w:val="763" w:hRule="atLeast"/>
          <w:jc w:val="center"/>
        </w:trPr>
        <w:tc>
          <w:tcPr>
            <w:tcW w:w="2273" w:type="dxa"/>
            <w:tcBorders>
              <w:top w:val="single" w:color="auto" w:sz="4" w:space="0"/>
              <w:left w:val="single" w:color="auto" w:sz="8" w:space="0"/>
              <w:bottom w:val="single" w:color="auto" w:sz="8" w:space="0"/>
              <w:right w:val="single" w:color="auto" w:sz="4" w:space="0"/>
            </w:tcBorders>
            <w:noWrap w:val="0"/>
            <w:vAlign w:val="center"/>
          </w:tcPr>
          <w:p>
            <w:pPr>
              <w:widowControl/>
              <w:adjustRightInd w:val="0"/>
              <w:snapToGrid w:val="0"/>
              <w:jc w:val="center"/>
              <w:rPr>
                <w:rFonts w:ascii="宋体" w:hAnsi="宋体"/>
                <w:kern w:val="0"/>
                <w:szCs w:val="21"/>
              </w:rPr>
            </w:pPr>
            <w:r>
              <w:rPr>
                <w:rFonts w:hint="eastAsia" w:ascii="宋体" w:hAnsi="宋体"/>
                <w:kern w:val="0"/>
                <w:szCs w:val="21"/>
              </w:rPr>
              <w:t>报告主要结论</w:t>
            </w:r>
          </w:p>
        </w:tc>
        <w:tc>
          <w:tcPr>
            <w:tcW w:w="6522" w:type="dxa"/>
            <w:gridSpan w:val="5"/>
            <w:tcBorders>
              <w:top w:val="single" w:color="auto" w:sz="4" w:space="0"/>
              <w:left w:val="single" w:color="auto" w:sz="4" w:space="0"/>
              <w:bottom w:val="single" w:color="auto" w:sz="8" w:space="0"/>
              <w:right w:val="single" w:color="auto" w:sz="8" w:space="0"/>
            </w:tcBorders>
            <w:noWrap w:val="0"/>
            <w:vAlign w:val="center"/>
          </w:tcPr>
          <w:p>
            <w:pPr>
              <w:widowControl/>
              <w:adjustRightInd w:val="0"/>
              <w:snapToGrid w:val="0"/>
              <w:rPr>
                <w:rFonts w:ascii="宋体" w:hAnsi="宋体"/>
                <w:kern w:val="0"/>
                <w:szCs w:val="21"/>
              </w:rPr>
            </w:pPr>
            <w:r>
              <w:rPr>
                <w:rFonts w:hint="eastAsia" w:ascii="宋体" w:hAnsi="宋体"/>
                <w:kern w:val="0"/>
                <w:szCs w:val="21"/>
              </w:rPr>
              <w:t>（可另附页）</w:t>
            </w:r>
          </w:p>
        </w:tc>
      </w:tr>
    </w:tbl>
    <w:p>
      <w:pPr>
        <w:widowControl/>
        <w:spacing w:line="200" w:lineRule="atLeast"/>
        <w:jc w:val="right"/>
        <w:rPr>
          <w:rFonts w:ascii="仿宋_GB2312" w:hAnsi="Times New Roman" w:eastAsia="仿宋_GB2312"/>
          <w:kern w:val="0"/>
          <w:sz w:val="24"/>
          <w:szCs w:val="24"/>
        </w:rPr>
      </w:pPr>
      <w:r>
        <w:rPr>
          <w:rFonts w:hint="eastAsia" w:ascii="仿宋_GB2312" w:hAnsi="Times New Roman" w:eastAsia="仿宋_GB2312"/>
          <w:kern w:val="0"/>
          <w:sz w:val="24"/>
          <w:szCs w:val="24"/>
        </w:rPr>
        <w:t>申请人：（申请人为单位的盖章，申请人为个人的签字）</w:t>
      </w:r>
    </w:p>
    <w:p>
      <w:pPr>
        <w:widowControl/>
        <w:spacing w:line="200" w:lineRule="atLeast"/>
        <w:jc w:val="center"/>
        <w:rPr>
          <w:rFonts w:ascii="仿宋_GB2312" w:hAnsi="Times New Roman" w:eastAsia="仿宋_GB2312"/>
          <w:kern w:val="0"/>
          <w:sz w:val="24"/>
          <w:szCs w:val="24"/>
        </w:rPr>
      </w:pPr>
    </w:p>
    <w:p>
      <w:pPr>
        <w:widowControl/>
        <w:jc w:val="right"/>
        <w:rPr>
          <w:rFonts w:ascii="Times New Roman" w:hAnsi="Times New Roman" w:eastAsia="仿宋_GB2312"/>
          <w:kern w:val="0"/>
          <w:sz w:val="32"/>
          <w:szCs w:val="32"/>
        </w:rPr>
      </w:pPr>
      <w:r>
        <w:rPr>
          <w:rFonts w:hint="eastAsia" w:ascii="仿宋_GB2312" w:hAnsi="Times New Roman" w:eastAsia="仿宋_GB2312"/>
          <w:kern w:val="0"/>
          <w:sz w:val="24"/>
          <w:szCs w:val="24"/>
        </w:rPr>
        <w:t>申请日期：</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年</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月</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日</w:t>
      </w:r>
    </w:p>
    <w:p>
      <w:pPr>
        <w:adjustRightInd w:val="0"/>
        <w:snapToGrid w:val="0"/>
        <w:jc w:val="left"/>
        <w:rPr>
          <w:rFonts w:ascii="黑体" w:hAnsi="黑体" w:eastAsia="黑体"/>
          <w:sz w:val="32"/>
          <w:szCs w:val="32"/>
        </w:rPr>
      </w:pPr>
      <w:r>
        <w:rPr>
          <w:rFonts w:ascii="Times New Roman" w:hAnsi="Times New Roman" w:eastAsia="仿宋_GB2312"/>
          <w:kern w:val="0"/>
          <w:sz w:val="32"/>
          <w:szCs w:val="32"/>
        </w:rPr>
        <w:br w:type="page"/>
      </w:r>
      <w:r>
        <w:rPr>
          <w:rFonts w:hint="eastAsia" w:ascii="黑体" w:hAnsi="黑体" w:eastAsia="黑体"/>
          <w:sz w:val="32"/>
          <w:szCs w:val="32"/>
        </w:rPr>
        <w:t>附</w:t>
      </w:r>
      <w:r>
        <w:rPr>
          <w:rFonts w:ascii="黑体" w:hAnsi="黑体" w:eastAsia="黑体"/>
          <w:sz w:val="32"/>
          <w:szCs w:val="32"/>
        </w:rPr>
        <w:t>2</w:t>
      </w:r>
    </w:p>
    <w:p>
      <w:pPr>
        <w:adjustRightInd w:val="0"/>
        <w:snapToGrid w:val="0"/>
        <w:spacing w:line="408" w:lineRule="auto"/>
        <w:jc w:val="left"/>
        <w:rPr>
          <w:rFonts w:ascii="黑体" w:hAnsi="黑体" w:eastAsia="黑体"/>
          <w:bCs/>
          <w:sz w:val="32"/>
          <w:szCs w:val="32"/>
        </w:rPr>
      </w:pPr>
    </w:p>
    <w:p>
      <w:pPr>
        <w:adjustRightInd w:val="0"/>
        <w:snapToGrid w:val="0"/>
        <w:jc w:val="center"/>
        <w:rPr>
          <w:rFonts w:ascii="方正小标宋_GBK" w:hAnsi="华文中宋" w:eastAsia="方正小标宋_GBK"/>
          <w:bCs/>
          <w:sz w:val="38"/>
          <w:szCs w:val="38"/>
        </w:rPr>
      </w:pPr>
      <w:r>
        <w:rPr>
          <w:rFonts w:hint="eastAsia" w:ascii="方正小标宋_GBK" w:hAnsi="华文中宋" w:eastAsia="方正小标宋_GBK"/>
          <w:bCs/>
          <w:sz w:val="38"/>
          <w:szCs w:val="38"/>
        </w:rPr>
        <w:t>申请人承诺书</w:t>
      </w:r>
    </w:p>
    <w:p>
      <w:pPr>
        <w:adjustRightInd w:val="0"/>
        <w:snapToGrid w:val="0"/>
        <w:spacing w:line="408" w:lineRule="auto"/>
        <w:jc w:val="left"/>
        <w:rPr>
          <w:rFonts w:ascii="黑体" w:hAnsi="黑体" w:eastAsia="黑体"/>
          <w:bCs/>
          <w:sz w:val="32"/>
          <w:szCs w:val="32"/>
        </w:rPr>
      </w:pPr>
    </w:p>
    <w:p>
      <w:pPr>
        <w:widowControl/>
        <w:adjustRightInd w:val="0"/>
        <w:snapToGrid w:val="0"/>
        <w:spacing w:line="360" w:lineRule="auto"/>
        <w:rPr>
          <w:rFonts w:ascii="Times New Roman" w:hAnsi="Times New Roman" w:eastAsia="仿宋_GB2312"/>
          <w:kern w:val="0"/>
          <w:sz w:val="30"/>
          <w:szCs w:val="30"/>
        </w:rPr>
      </w:pPr>
      <w:r>
        <w:rPr>
          <w:rFonts w:hint="eastAsia" w:ascii="Times New Roman" w:hAnsi="Times New Roman" w:eastAsia="仿宋_GB2312"/>
          <w:kern w:val="0"/>
          <w:sz w:val="30"/>
          <w:szCs w:val="30"/>
        </w:rPr>
        <w:t>本单位（或个人）郑重承诺：</w:t>
      </w:r>
    </w:p>
    <w:p>
      <w:pPr>
        <w:widowControl/>
        <w:adjustRightInd w:val="0"/>
        <w:snapToGrid w:val="0"/>
        <w:spacing w:line="360" w:lineRule="auto"/>
        <w:ind w:firstLine="640"/>
        <w:rPr>
          <w:rFonts w:ascii="Times New Roman" w:hAnsi="Times New Roman" w:eastAsia="仿宋_GB2312"/>
          <w:kern w:val="0"/>
          <w:sz w:val="30"/>
          <w:szCs w:val="30"/>
        </w:rPr>
      </w:pPr>
      <w:r>
        <w:rPr>
          <w:rFonts w:hint="eastAsia" w:ascii="Times New Roman" w:hAnsi="Times New Roman" w:eastAsia="仿宋_GB2312"/>
          <w:kern w:val="0"/>
          <w:sz w:val="30"/>
          <w:szCs w:val="30"/>
        </w:rPr>
        <w:t>我单位（或本人）对申请材料的真实性负责；为报告出具单位提供的相应资料、全部数据及内容真实有效，绝不弄虚作假。</w:t>
      </w:r>
    </w:p>
    <w:p>
      <w:pPr>
        <w:widowControl/>
        <w:adjustRightInd w:val="0"/>
        <w:snapToGrid w:val="0"/>
        <w:spacing w:line="360" w:lineRule="auto"/>
        <w:ind w:firstLine="640"/>
        <w:rPr>
          <w:rFonts w:ascii="Times New Roman" w:hAnsi="Times New Roman" w:eastAsia="仿宋_GB2312"/>
          <w:kern w:val="0"/>
          <w:sz w:val="30"/>
          <w:szCs w:val="30"/>
        </w:rPr>
      </w:pPr>
      <w:r>
        <w:rPr>
          <w:rFonts w:hint="eastAsia" w:ascii="Times New Roman" w:hAnsi="Times New Roman" w:eastAsia="仿宋_GB2312"/>
          <w:kern w:val="0"/>
          <w:sz w:val="30"/>
          <w:szCs w:val="30"/>
        </w:rPr>
        <w:t>如有违反，愿意为提供虚假资料和信息引发的一切后果承担全部法律责任。</w:t>
      </w:r>
    </w:p>
    <w:p>
      <w:pPr>
        <w:widowControl/>
        <w:adjustRightInd w:val="0"/>
        <w:snapToGrid w:val="0"/>
        <w:spacing w:line="360" w:lineRule="auto"/>
        <w:rPr>
          <w:rFonts w:ascii="Times New Roman" w:hAnsi="Times New Roman" w:eastAsia="仿宋_GB2312"/>
          <w:kern w:val="0"/>
          <w:sz w:val="30"/>
          <w:szCs w:val="30"/>
        </w:rPr>
      </w:pPr>
    </w:p>
    <w:p>
      <w:pPr>
        <w:widowControl/>
        <w:adjustRightInd w:val="0"/>
        <w:snapToGrid w:val="0"/>
        <w:spacing w:line="360" w:lineRule="auto"/>
        <w:rPr>
          <w:rFonts w:ascii="Times New Roman" w:hAnsi="Times New Roman" w:eastAsia="仿宋_GB2312"/>
          <w:kern w:val="0"/>
          <w:sz w:val="30"/>
          <w:szCs w:val="30"/>
        </w:rPr>
      </w:pPr>
    </w:p>
    <w:p>
      <w:pPr>
        <w:widowControl/>
        <w:adjustRightInd w:val="0"/>
        <w:snapToGrid w:val="0"/>
        <w:spacing w:line="360" w:lineRule="auto"/>
        <w:rPr>
          <w:rFonts w:ascii="Times New Roman" w:hAnsi="Times New Roman" w:eastAsia="仿宋_GB2312"/>
          <w:kern w:val="0"/>
          <w:sz w:val="30"/>
          <w:szCs w:val="30"/>
        </w:rPr>
      </w:pPr>
    </w:p>
    <w:p>
      <w:pPr>
        <w:widowControl/>
        <w:adjustRightInd w:val="0"/>
        <w:snapToGrid w:val="0"/>
        <w:spacing w:line="360" w:lineRule="auto"/>
        <w:rPr>
          <w:rFonts w:ascii="Times New Roman" w:hAnsi="Times New Roman" w:eastAsia="仿宋_GB2312"/>
          <w:kern w:val="0"/>
          <w:sz w:val="30"/>
          <w:szCs w:val="30"/>
        </w:rPr>
      </w:pPr>
      <w:r>
        <w:rPr>
          <w:rFonts w:hint="eastAsia" w:ascii="Times New Roman" w:hAnsi="Times New Roman" w:eastAsia="仿宋_GB2312"/>
          <w:kern w:val="0"/>
          <w:sz w:val="30"/>
          <w:szCs w:val="30"/>
        </w:rPr>
        <w:t>承诺单位：（公章）</w:t>
      </w:r>
    </w:p>
    <w:p>
      <w:pPr>
        <w:widowControl/>
        <w:adjustRightInd w:val="0"/>
        <w:snapToGrid w:val="0"/>
        <w:spacing w:line="360" w:lineRule="auto"/>
        <w:rPr>
          <w:rFonts w:ascii="Times New Roman" w:hAnsi="Times New Roman" w:eastAsia="仿宋_GB2312"/>
          <w:kern w:val="0"/>
          <w:sz w:val="30"/>
          <w:szCs w:val="30"/>
        </w:rPr>
      </w:pPr>
    </w:p>
    <w:p>
      <w:pPr>
        <w:widowControl/>
        <w:adjustRightInd w:val="0"/>
        <w:snapToGrid w:val="0"/>
        <w:spacing w:line="360" w:lineRule="auto"/>
        <w:ind w:firstLine="3040"/>
        <w:rPr>
          <w:rFonts w:ascii="Times New Roman" w:hAnsi="Times New Roman" w:eastAsia="仿宋_GB2312"/>
          <w:kern w:val="0"/>
          <w:sz w:val="30"/>
          <w:szCs w:val="30"/>
        </w:rPr>
      </w:pPr>
      <w:r>
        <w:rPr>
          <w:rFonts w:hint="eastAsia" w:ascii="Times New Roman" w:hAnsi="Times New Roman" w:eastAsia="仿宋_GB2312"/>
          <w:kern w:val="0"/>
          <w:sz w:val="30"/>
          <w:szCs w:val="30"/>
        </w:rPr>
        <w:t>法定代表人（或申请个人）：（签名）</w:t>
      </w:r>
    </w:p>
    <w:p>
      <w:pPr>
        <w:widowControl/>
        <w:adjustRightInd w:val="0"/>
        <w:snapToGrid w:val="0"/>
        <w:spacing w:line="360" w:lineRule="auto"/>
        <w:rPr>
          <w:rFonts w:ascii="Times New Roman" w:hAnsi="Times New Roman" w:eastAsia="仿宋_GB2312"/>
          <w:kern w:val="0"/>
          <w:sz w:val="30"/>
          <w:szCs w:val="30"/>
        </w:rPr>
      </w:pPr>
    </w:p>
    <w:p>
      <w:pPr>
        <w:widowControl/>
        <w:adjustRightInd w:val="0"/>
        <w:snapToGrid w:val="0"/>
        <w:spacing w:line="360" w:lineRule="auto"/>
        <w:rPr>
          <w:rFonts w:ascii="Times New Roman" w:hAnsi="Times New Roman" w:eastAsia="仿宋_GB2312"/>
          <w:kern w:val="0"/>
          <w:sz w:val="30"/>
          <w:szCs w:val="30"/>
        </w:rPr>
      </w:pPr>
    </w:p>
    <w:p>
      <w:pPr>
        <w:widowControl/>
        <w:adjustRightInd w:val="0"/>
        <w:snapToGrid w:val="0"/>
        <w:spacing w:line="360" w:lineRule="auto"/>
        <w:jc w:val="right"/>
        <w:rPr>
          <w:rFonts w:ascii="Times New Roman" w:hAnsi="Times New Roman"/>
          <w:kern w:val="0"/>
          <w:sz w:val="30"/>
          <w:szCs w:val="30"/>
        </w:rPr>
      </w:pPr>
      <w:r>
        <w:rPr>
          <w:rFonts w:hint="eastAsia" w:ascii="Times New Roman" w:hAnsi="Times New Roman" w:eastAsia="仿宋_GB2312"/>
          <w:kern w:val="0"/>
          <w:sz w:val="30"/>
          <w:szCs w:val="30"/>
        </w:rPr>
        <w:t>年</w:t>
      </w:r>
      <w:r>
        <w:rPr>
          <w:rFonts w:ascii="Times New Roman" w:hAnsi="Times New Roman" w:eastAsia="仿宋_GB2312"/>
          <w:kern w:val="0"/>
          <w:sz w:val="30"/>
          <w:szCs w:val="30"/>
        </w:rPr>
        <w:t xml:space="preserve">  </w:t>
      </w:r>
      <w:r>
        <w:rPr>
          <w:rFonts w:hint="eastAsia" w:ascii="Times New Roman" w:hAnsi="Times New Roman" w:eastAsia="仿宋_GB2312"/>
          <w:kern w:val="0"/>
          <w:sz w:val="30"/>
          <w:szCs w:val="30"/>
        </w:rPr>
        <w:t>月</w:t>
      </w:r>
      <w:r>
        <w:rPr>
          <w:rFonts w:ascii="Times New Roman" w:hAnsi="Times New Roman" w:eastAsia="仿宋_GB2312"/>
          <w:kern w:val="0"/>
          <w:sz w:val="30"/>
          <w:szCs w:val="30"/>
        </w:rPr>
        <w:t xml:space="preserve">  </w:t>
      </w:r>
      <w:r>
        <w:rPr>
          <w:rFonts w:hint="eastAsia" w:ascii="Times New Roman" w:hAnsi="Times New Roman" w:eastAsia="仿宋_GB2312"/>
          <w:kern w:val="0"/>
          <w:sz w:val="30"/>
          <w:szCs w:val="30"/>
        </w:rPr>
        <w:t>日</w:t>
      </w:r>
    </w:p>
    <w:p>
      <w:pPr>
        <w:adjustRightInd w:val="0"/>
        <w:snapToGrid w:val="0"/>
        <w:jc w:val="left"/>
        <w:rPr>
          <w:rFonts w:ascii="黑体" w:hAnsi="黑体" w:eastAsia="黑体"/>
          <w:sz w:val="32"/>
          <w:szCs w:val="32"/>
        </w:rPr>
      </w:pPr>
      <w:r>
        <w:rPr>
          <w:rFonts w:ascii="Times New Roman" w:hAnsi="Times New Roman"/>
          <w:kern w:val="0"/>
          <w:sz w:val="32"/>
          <w:szCs w:val="32"/>
        </w:rPr>
        <w:br w:type="page"/>
      </w:r>
      <w:r>
        <w:rPr>
          <w:rFonts w:hint="eastAsia" w:ascii="黑体" w:hAnsi="黑体" w:eastAsia="黑体"/>
          <w:sz w:val="32"/>
          <w:szCs w:val="32"/>
        </w:rPr>
        <w:t>附</w:t>
      </w:r>
      <w:r>
        <w:rPr>
          <w:rFonts w:ascii="黑体" w:hAnsi="黑体" w:eastAsia="黑体"/>
          <w:sz w:val="32"/>
          <w:szCs w:val="32"/>
        </w:rPr>
        <w:t>3</w:t>
      </w:r>
    </w:p>
    <w:p>
      <w:pPr>
        <w:adjustRightInd w:val="0"/>
        <w:snapToGrid w:val="0"/>
        <w:spacing w:line="408" w:lineRule="auto"/>
        <w:jc w:val="left"/>
        <w:rPr>
          <w:rFonts w:ascii="黑体" w:hAnsi="黑体" w:eastAsia="黑体"/>
          <w:bCs/>
          <w:sz w:val="32"/>
          <w:szCs w:val="32"/>
        </w:rPr>
      </w:pPr>
    </w:p>
    <w:p>
      <w:pPr>
        <w:adjustRightInd w:val="0"/>
        <w:snapToGrid w:val="0"/>
        <w:jc w:val="center"/>
        <w:rPr>
          <w:rFonts w:ascii="方正小标宋_GBK" w:hAnsi="华文中宋" w:eastAsia="方正小标宋_GBK"/>
          <w:bCs/>
          <w:sz w:val="38"/>
          <w:szCs w:val="38"/>
        </w:rPr>
      </w:pPr>
      <w:r>
        <w:rPr>
          <w:rFonts w:hint="eastAsia" w:ascii="方正小标宋_GBK" w:hAnsi="华文中宋" w:eastAsia="方正小标宋_GBK"/>
          <w:bCs/>
          <w:sz w:val="38"/>
          <w:szCs w:val="38"/>
        </w:rPr>
        <w:t>报告出具单位承诺书</w:t>
      </w:r>
    </w:p>
    <w:p>
      <w:pPr>
        <w:adjustRightInd w:val="0"/>
        <w:snapToGrid w:val="0"/>
        <w:spacing w:line="408" w:lineRule="auto"/>
        <w:jc w:val="left"/>
        <w:rPr>
          <w:rFonts w:ascii="黑体" w:hAnsi="黑体" w:eastAsia="黑体"/>
          <w:bCs/>
          <w:sz w:val="32"/>
          <w:szCs w:val="32"/>
        </w:rPr>
      </w:pPr>
    </w:p>
    <w:p>
      <w:pPr>
        <w:widowControl/>
        <w:adjustRightInd w:val="0"/>
        <w:snapToGrid w:val="0"/>
        <w:spacing w:line="372" w:lineRule="auto"/>
        <w:rPr>
          <w:rFonts w:hint="eastAsia" w:ascii="仿宋_GB2312" w:hAnsi="Times New Roman" w:eastAsia="仿宋_GB2312"/>
          <w:kern w:val="0"/>
          <w:sz w:val="30"/>
          <w:szCs w:val="30"/>
        </w:rPr>
      </w:pPr>
      <w:r>
        <w:rPr>
          <w:rFonts w:hint="eastAsia" w:ascii="仿宋_GB2312" w:hAnsi="Times New Roman" w:eastAsia="仿宋_GB2312"/>
          <w:kern w:val="0"/>
          <w:sz w:val="30"/>
          <w:szCs w:val="30"/>
        </w:rPr>
        <w:t>本单位郑重承诺：</w:t>
      </w:r>
    </w:p>
    <w:p>
      <w:pPr>
        <w:shd w:val="clear" w:color="auto" w:fill="FFFFFF"/>
        <w:adjustRightInd w:val="0"/>
        <w:snapToGrid w:val="0"/>
        <w:spacing w:line="372" w:lineRule="auto"/>
        <w:jc w:val="left"/>
        <w:rPr>
          <w:rFonts w:hint="eastAsia" w:ascii="仿宋_GB2312" w:hAnsi="Times New Roman" w:eastAsia="仿宋_GB2312"/>
          <w:kern w:val="0"/>
          <w:sz w:val="30"/>
          <w:szCs w:val="30"/>
        </w:rPr>
      </w:pPr>
      <w:r>
        <w:rPr>
          <w:rFonts w:hint="eastAsia" w:ascii="仿宋_GB2312" w:hAnsi="Times New Roman" w:eastAsia="仿宋_GB2312"/>
          <w:kern w:val="0"/>
          <w:sz w:val="30"/>
          <w:szCs w:val="30"/>
        </w:rPr>
        <w:t xml:space="preserve">    我单位对xxxxxx报告的真实性、准确性、完整性负责。</w:t>
      </w:r>
    </w:p>
    <w:p>
      <w:pPr>
        <w:shd w:val="clear" w:color="auto" w:fill="FFFFFF"/>
        <w:adjustRightInd w:val="0"/>
        <w:snapToGrid w:val="0"/>
        <w:spacing w:line="372" w:lineRule="auto"/>
        <w:jc w:val="left"/>
        <w:rPr>
          <w:rFonts w:hint="eastAsia" w:ascii="仿宋_GB2312" w:hAnsi="仿宋" w:eastAsia="仿宋_GB2312" w:cs="宋体"/>
          <w:kern w:val="0"/>
          <w:sz w:val="30"/>
          <w:szCs w:val="30"/>
        </w:rPr>
      </w:pPr>
      <w:r>
        <w:rPr>
          <w:rFonts w:hint="eastAsia" w:ascii="仿宋_GB2312" w:hAnsi="仿宋" w:eastAsia="仿宋_GB2312" w:cs="宋体"/>
          <w:kern w:val="0"/>
          <w:sz w:val="30"/>
          <w:szCs w:val="30"/>
        </w:rPr>
        <w:t xml:space="preserve">    本报告的直接负责的主管人员是：</w:t>
      </w:r>
    </w:p>
    <w:p>
      <w:pPr>
        <w:shd w:val="clear" w:color="auto" w:fill="FFFFFF"/>
        <w:adjustRightInd w:val="0"/>
        <w:snapToGrid w:val="0"/>
        <w:spacing w:line="372" w:lineRule="auto"/>
        <w:jc w:val="left"/>
        <w:rPr>
          <w:rFonts w:hint="eastAsia" w:ascii="仿宋_GB2312" w:hAnsi="仿宋" w:eastAsia="仿宋_GB2312" w:cs="宋体"/>
          <w:kern w:val="0"/>
          <w:sz w:val="30"/>
          <w:szCs w:val="30"/>
        </w:rPr>
      </w:pPr>
      <w:r>
        <w:rPr>
          <w:rFonts w:hint="eastAsia" w:ascii="仿宋_GB2312" w:hAnsi="仿宋" w:eastAsia="仿宋_GB2312" w:cs="宋体"/>
          <w:kern w:val="0"/>
          <w:sz w:val="30"/>
          <w:szCs w:val="30"/>
        </w:rPr>
        <w:t>姓名：        身份证号：      负责篇章：       签名：</w:t>
      </w:r>
    </w:p>
    <w:p>
      <w:pPr>
        <w:shd w:val="clear" w:color="auto" w:fill="FFFFFF"/>
        <w:adjustRightInd w:val="0"/>
        <w:snapToGrid w:val="0"/>
        <w:spacing w:line="372" w:lineRule="auto"/>
        <w:jc w:val="left"/>
        <w:rPr>
          <w:rFonts w:hint="eastAsia" w:ascii="仿宋_GB2312" w:hAnsi="仿宋" w:eastAsia="仿宋_GB2312" w:cs="宋体"/>
          <w:kern w:val="0"/>
          <w:sz w:val="30"/>
          <w:szCs w:val="30"/>
        </w:rPr>
      </w:pPr>
      <w:r>
        <w:rPr>
          <w:rFonts w:hint="eastAsia" w:ascii="仿宋_GB2312" w:hAnsi="仿宋" w:eastAsia="仿宋_GB2312" w:cs="宋体"/>
          <w:kern w:val="0"/>
          <w:sz w:val="30"/>
          <w:szCs w:val="30"/>
        </w:rPr>
        <w:t xml:space="preserve">    本报告的其他直接责任人员包括：</w:t>
      </w:r>
    </w:p>
    <w:p>
      <w:pPr>
        <w:shd w:val="clear" w:color="auto" w:fill="FFFFFF"/>
        <w:adjustRightInd w:val="0"/>
        <w:snapToGrid w:val="0"/>
        <w:spacing w:line="372" w:lineRule="auto"/>
        <w:jc w:val="left"/>
        <w:rPr>
          <w:rFonts w:hint="eastAsia" w:ascii="仿宋_GB2312" w:hAnsi="仿宋" w:eastAsia="仿宋_GB2312" w:cs="宋体"/>
          <w:kern w:val="0"/>
          <w:sz w:val="30"/>
          <w:szCs w:val="30"/>
        </w:rPr>
      </w:pPr>
      <w:r>
        <w:rPr>
          <w:rFonts w:hint="eastAsia" w:ascii="仿宋_GB2312" w:hAnsi="仿宋" w:eastAsia="仿宋_GB2312" w:cs="宋体"/>
          <w:kern w:val="0"/>
          <w:sz w:val="30"/>
          <w:szCs w:val="30"/>
        </w:rPr>
        <w:t>姓名：        身份证号：      负责篇章：       签名：</w:t>
      </w:r>
    </w:p>
    <w:p>
      <w:pPr>
        <w:shd w:val="clear" w:color="auto" w:fill="FFFFFF"/>
        <w:adjustRightInd w:val="0"/>
        <w:snapToGrid w:val="0"/>
        <w:spacing w:line="372" w:lineRule="auto"/>
        <w:jc w:val="left"/>
        <w:rPr>
          <w:rFonts w:hint="eastAsia" w:ascii="仿宋_GB2312" w:hAnsi="仿宋" w:eastAsia="仿宋_GB2312" w:cs="宋体"/>
          <w:kern w:val="0"/>
          <w:sz w:val="30"/>
          <w:szCs w:val="30"/>
        </w:rPr>
      </w:pPr>
      <w:r>
        <w:rPr>
          <w:rFonts w:hint="eastAsia" w:ascii="仿宋_GB2312" w:hAnsi="仿宋" w:eastAsia="仿宋_GB2312" w:cs="宋体"/>
          <w:kern w:val="0"/>
          <w:sz w:val="30"/>
          <w:szCs w:val="30"/>
        </w:rPr>
        <w:t>姓名：        身份证号：      负责篇章：       签名：</w:t>
      </w:r>
    </w:p>
    <w:p>
      <w:pPr>
        <w:shd w:val="clear" w:color="auto" w:fill="FFFFFF"/>
        <w:adjustRightInd w:val="0"/>
        <w:snapToGrid w:val="0"/>
        <w:spacing w:line="372" w:lineRule="auto"/>
        <w:jc w:val="left"/>
        <w:rPr>
          <w:rFonts w:hint="eastAsia" w:ascii="仿宋_GB2312" w:hAnsi="仿宋" w:eastAsia="仿宋_GB2312" w:cs="宋体"/>
          <w:kern w:val="0"/>
          <w:sz w:val="30"/>
          <w:szCs w:val="30"/>
        </w:rPr>
      </w:pPr>
      <w:r>
        <w:rPr>
          <w:rFonts w:hint="eastAsia" w:ascii="仿宋_GB2312" w:hAnsi="仿宋" w:eastAsia="仿宋_GB2312" w:cs="宋体"/>
          <w:kern w:val="0"/>
          <w:sz w:val="30"/>
          <w:szCs w:val="30"/>
        </w:rPr>
        <w:t>姓名：        身份证号：      负责篇章：       签名：</w:t>
      </w:r>
    </w:p>
    <w:p>
      <w:pPr>
        <w:widowControl/>
        <w:adjustRightInd w:val="0"/>
        <w:snapToGrid w:val="0"/>
        <w:spacing w:line="372" w:lineRule="auto"/>
        <w:ind w:firstLine="640"/>
        <w:rPr>
          <w:rFonts w:hint="eastAsia" w:ascii="仿宋_GB2312" w:hAnsi="Times New Roman" w:eastAsia="仿宋_GB2312"/>
          <w:kern w:val="0"/>
          <w:sz w:val="30"/>
          <w:szCs w:val="30"/>
        </w:rPr>
      </w:pPr>
      <w:r>
        <w:rPr>
          <w:rFonts w:hint="eastAsia" w:ascii="仿宋_GB2312" w:hAnsi="Times New Roman" w:eastAsia="仿宋_GB2312"/>
          <w:kern w:val="0"/>
          <w:sz w:val="30"/>
          <w:szCs w:val="30"/>
        </w:rPr>
        <w:t>如出具虚假报告，愿意承担全部法律责任。</w:t>
      </w:r>
    </w:p>
    <w:p>
      <w:pPr>
        <w:widowControl/>
        <w:adjustRightInd w:val="0"/>
        <w:snapToGrid w:val="0"/>
        <w:spacing w:line="372" w:lineRule="auto"/>
        <w:rPr>
          <w:rFonts w:hint="eastAsia" w:ascii="仿宋_GB2312" w:hAnsi="Times New Roman" w:eastAsia="仿宋_GB2312"/>
          <w:kern w:val="0"/>
          <w:sz w:val="30"/>
          <w:szCs w:val="30"/>
        </w:rPr>
      </w:pPr>
    </w:p>
    <w:p>
      <w:pPr>
        <w:widowControl/>
        <w:adjustRightInd w:val="0"/>
        <w:snapToGrid w:val="0"/>
        <w:spacing w:line="372" w:lineRule="auto"/>
        <w:rPr>
          <w:rFonts w:hint="eastAsia" w:ascii="仿宋_GB2312" w:hAnsi="Times New Roman" w:eastAsia="仿宋_GB2312"/>
          <w:kern w:val="0"/>
          <w:sz w:val="30"/>
          <w:szCs w:val="30"/>
        </w:rPr>
      </w:pPr>
    </w:p>
    <w:p>
      <w:pPr>
        <w:widowControl/>
        <w:adjustRightInd w:val="0"/>
        <w:snapToGrid w:val="0"/>
        <w:spacing w:line="372" w:lineRule="auto"/>
        <w:rPr>
          <w:rFonts w:hint="eastAsia" w:ascii="仿宋_GB2312" w:hAnsi="Times New Roman" w:eastAsia="仿宋_GB2312"/>
          <w:kern w:val="0"/>
          <w:sz w:val="30"/>
          <w:szCs w:val="30"/>
        </w:rPr>
      </w:pPr>
      <w:r>
        <w:rPr>
          <w:rFonts w:hint="eastAsia" w:ascii="仿宋_GB2312" w:hAnsi="Times New Roman" w:eastAsia="仿宋_GB2312"/>
          <w:kern w:val="0"/>
          <w:sz w:val="30"/>
          <w:szCs w:val="30"/>
        </w:rPr>
        <w:t>承诺单位：（公章）</w:t>
      </w:r>
    </w:p>
    <w:p>
      <w:pPr>
        <w:widowControl/>
        <w:adjustRightInd w:val="0"/>
        <w:snapToGrid w:val="0"/>
        <w:spacing w:line="372" w:lineRule="auto"/>
        <w:rPr>
          <w:rFonts w:hint="eastAsia" w:ascii="仿宋_GB2312" w:hAnsi="Times New Roman" w:eastAsia="仿宋_GB2312"/>
          <w:kern w:val="0"/>
          <w:sz w:val="30"/>
          <w:szCs w:val="30"/>
        </w:rPr>
      </w:pPr>
    </w:p>
    <w:p>
      <w:pPr>
        <w:widowControl/>
        <w:adjustRightInd w:val="0"/>
        <w:snapToGrid w:val="0"/>
        <w:spacing w:line="372" w:lineRule="auto"/>
        <w:ind w:firstLine="3040"/>
        <w:rPr>
          <w:rFonts w:hint="eastAsia" w:ascii="仿宋_GB2312" w:hAnsi="Times New Roman" w:eastAsia="仿宋_GB2312"/>
          <w:kern w:val="0"/>
          <w:sz w:val="30"/>
          <w:szCs w:val="30"/>
        </w:rPr>
      </w:pPr>
      <w:r>
        <w:rPr>
          <w:rFonts w:hint="eastAsia" w:ascii="仿宋_GB2312" w:hAnsi="Times New Roman" w:eastAsia="仿宋_GB2312"/>
          <w:kern w:val="0"/>
          <w:sz w:val="30"/>
          <w:szCs w:val="30"/>
        </w:rPr>
        <w:t>法定代表人：（签名）</w:t>
      </w:r>
    </w:p>
    <w:p>
      <w:pPr>
        <w:widowControl/>
        <w:adjustRightInd w:val="0"/>
        <w:snapToGrid w:val="0"/>
        <w:spacing w:line="372" w:lineRule="auto"/>
        <w:jc w:val="right"/>
        <w:rPr>
          <w:rFonts w:hint="eastAsia" w:ascii="仿宋_GB2312" w:hAnsi="Times New Roman" w:eastAsia="仿宋_GB2312"/>
          <w:kern w:val="0"/>
          <w:sz w:val="30"/>
          <w:szCs w:val="30"/>
        </w:rPr>
      </w:pPr>
      <w:r>
        <w:rPr>
          <w:rFonts w:hint="eastAsia" w:ascii="仿宋_GB2312" w:hAnsi="Times New Roman" w:eastAsia="仿宋_GB2312"/>
          <w:kern w:val="0"/>
          <w:sz w:val="30"/>
          <w:szCs w:val="30"/>
        </w:rPr>
        <w:t xml:space="preserve">年   月   日   </w:t>
      </w:r>
    </w:p>
    <w:p>
      <w:pPr>
        <w:shd w:val="clear" w:color="auto" w:fill="FFFFFF"/>
        <w:spacing w:line="360" w:lineRule="auto"/>
        <w:rPr>
          <w:rFonts w:ascii="仿宋" w:hAnsi="仿宋" w:eastAsia="仿宋" w:cs="宋体"/>
          <w:kern w:val="0"/>
          <w:sz w:val="32"/>
          <w:szCs w:val="32"/>
        </w:rPr>
      </w:pPr>
    </w:p>
    <w:p>
      <w:pPr>
        <w:shd w:val="clear" w:color="auto" w:fill="FFFFFF"/>
        <w:spacing w:line="360" w:lineRule="auto"/>
        <w:rPr>
          <w:rFonts w:hint="default" w:ascii="仿宋" w:hAnsi="仿宋" w:eastAsia="仿宋" w:cs="宋体"/>
          <w:kern w:val="0"/>
          <w:sz w:val="32"/>
          <w:szCs w:val="32"/>
          <w:lang w:val="en-US" w:eastAsia="zh-CN"/>
        </w:rPr>
      </w:pPr>
    </w:p>
    <w:sectPr>
      <w:footerReference r:id="rId3" w:type="default"/>
      <w:pgSz w:w="11906" w:h="16838"/>
      <w:pgMar w:top="1440" w:right="1701" w:bottom="1440"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altName w:val="宋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1pt;width:4.6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trackedChanges" w:enforcement="0"/>
  <w:defaultTabStop w:val="420"/>
  <w:drawingGridHorizontalSpacing w:val="105"/>
  <w:drawingGridVerticalSpacing w:val="156"/>
  <w:displayHorizontalDrawingGridEvery w:val="2"/>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572"/>
    <w:rsid w:val="00004FBF"/>
    <w:rsid w:val="0002233E"/>
    <w:rsid w:val="00023EBC"/>
    <w:rsid w:val="0003260E"/>
    <w:rsid w:val="00036CDB"/>
    <w:rsid w:val="000438D6"/>
    <w:rsid w:val="00050570"/>
    <w:rsid w:val="00056462"/>
    <w:rsid w:val="00062491"/>
    <w:rsid w:val="00063826"/>
    <w:rsid w:val="00064411"/>
    <w:rsid w:val="00065F41"/>
    <w:rsid w:val="00071D22"/>
    <w:rsid w:val="000837A1"/>
    <w:rsid w:val="00084AED"/>
    <w:rsid w:val="00096981"/>
    <w:rsid w:val="00097479"/>
    <w:rsid w:val="000A7F86"/>
    <w:rsid w:val="000B39DB"/>
    <w:rsid w:val="000C42D0"/>
    <w:rsid w:val="000D6118"/>
    <w:rsid w:val="000D661F"/>
    <w:rsid w:val="000D7BAD"/>
    <w:rsid w:val="000E0B13"/>
    <w:rsid w:val="000F1FE0"/>
    <w:rsid w:val="000F7116"/>
    <w:rsid w:val="001033D1"/>
    <w:rsid w:val="001115C0"/>
    <w:rsid w:val="001123EB"/>
    <w:rsid w:val="001153C2"/>
    <w:rsid w:val="00115487"/>
    <w:rsid w:val="0012076C"/>
    <w:rsid w:val="00131D00"/>
    <w:rsid w:val="00131D38"/>
    <w:rsid w:val="00135031"/>
    <w:rsid w:val="00135620"/>
    <w:rsid w:val="001402AF"/>
    <w:rsid w:val="001411F2"/>
    <w:rsid w:val="0014205B"/>
    <w:rsid w:val="00146ED8"/>
    <w:rsid w:val="00153E04"/>
    <w:rsid w:val="0016634A"/>
    <w:rsid w:val="00172A27"/>
    <w:rsid w:val="001903FE"/>
    <w:rsid w:val="0019268B"/>
    <w:rsid w:val="001B0702"/>
    <w:rsid w:val="001B1C71"/>
    <w:rsid w:val="001C048E"/>
    <w:rsid w:val="001C3E2F"/>
    <w:rsid w:val="001C53A3"/>
    <w:rsid w:val="001C6E9B"/>
    <w:rsid w:val="001C7EDF"/>
    <w:rsid w:val="001D095C"/>
    <w:rsid w:val="001D1E35"/>
    <w:rsid w:val="001E0AE4"/>
    <w:rsid w:val="001E0B8B"/>
    <w:rsid w:val="001E0D88"/>
    <w:rsid w:val="001E6792"/>
    <w:rsid w:val="001F441E"/>
    <w:rsid w:val="00201B65"/>
    <w:rsid w:val="002029AF"/>
    <w:rsid w:val="0020387E"/>
    <w:rsid w:val="00204A9D"/>
    <w:rsid w:val="00205338"/>
    <w:rsid w:val="00205602"/>
    <w:rsid w:val="00214A52"/>
    <w:rsid w:val="0022393E"/>
    <w:rsid w:val="00224887"/>
    <w:rsid w:val="002275A1"/>
    <w:rsid w:val="00227AB0"/>
    <w:rsid w:val="002370D0"/>
    <w:rsid w:val="00244D17"/>
    <w:rsid w:val="00247A10"/>
    <w:rsid w:val="002512F9"/>
    <w:rsid w:val="00253099"/>
    <w:rsid w:val="00253D59"/>
    <w:rsid w:val="0026685D"/>
    <w:rsid w:val="00267D2C"/>
    <w:rsid w:val="00270B17"/>
    <w:rsid w:val="00275E0F"/>
    <w:rsid w:val="00276BBF"/>
    <w:rsid w:val="00277C94"/>
    <w:rsid w:val="002817DA"/>
    <w:rsid w:val="00282469"/>
    <w:rsid w:val="00282A7D"/>
    <w:rsid w:val="00283A96"/>
    <w:rsid w:val="002847C1"/>
    <w:rsid w:val="00285AF4"/>
    <w:rsid w:val="00290587"/>
    <w:rsid w:val="002C521C"/>
    <w:rsid w:val="002D5A3D"/>
    <w:rsid w:val="002E7BA2"/>
    <w:rsid w:val="002F0040"/>
    <w:rsid w:val="00310C39"/>
    <w:rsid w:val="003143E4"/>
    <w:rsid w:val="00315573"/>
    <w:rsid w:val="003254F5"/>
    <w:rsid w:val="00337CAC"/>
    <w:rsid w:val="00341DFD"/>
    <w:rsid w:val="00352D8D"/>
    <w:rsid w:val="0035302E"/>
    <w:rsid w:val="00364D3E"/>
    <w:rsid w:val="003733CA"/>
    <w:rsid w:val="00375B1B"/>
    <w:rsid w:val="00383A1E"/>
    <w:rsid w:val="003956F6"/>
    <w:rsid w:val="003B6760"/>
    <w:rsid w:val="003C4786"/>
    <w:rsid w:val="003C6B94"/>
    <w:rsid w:val="003D4BD9"/>
    <w:rsid w:val="003D589E"/>
    <w:rsid w:val="003E12FF"/>
    <w:rsid w:val="003F38D0"/>
    <w:rsid w:val="003F5A25"/>
    <w:rsid w:val="00403B88"/>
    <w:rsid w:val="004050A3"/>
    <w:rsid w:val="00412E1D"/>
    <w:rsid w:val="00420192"/>
    <w:rsid w:val="0042132F"/>
    <w:rsid w:val="00421F78"/>
    <w:rsid w:val="00424AF0"/>
    <w:rsid w:val="00425B5E"/>
    <w:rsid w:val="00432FED"/>
    <w:rsid w:val="004361A8"/>
    <w:rsid w:val="0045433D"/>
    <w:rsid w:val="004644DE"/>
    <w:rsid w:val="00466167"/>
    <w:rsid w:val="00472548"/>
    <w:rsid w:val="00472955"/>
    <w:rsid w:val="00477E13"/>
    <w:rsid w:val="004810E1"/>
    <w:rsid w:val="00484328"/>
    <w:rsid w:val="004852BC"/>
    <w:rsid w:val="00490BC5"/>
    <w:rsid w:val="0049228B"/>
    <w:rsid w:val="00496625"/>
    <w:rsid w:val="004A2D4B"/>
    <w:rsid w:val="004B0B63"/>
    <w:rsid w:val="004C278E"/>
    <w:rsid w:val="004D483A"/>
    <w:rsid w:val="004D67B8"/>
    <w:rsid w:val="004F4849"/>
    <w:rsid w:val="004F5A27"/>
    <w:rsid w:val="004F5F9C"/>
    <w:rsid w:val="0050215B"/>
    <w:rsid w:val="005039F5"/>
    <w:rsid w:val="0051005E"/>
    <w:rsid w:val="005104FA"/>
    <w:rsid w:val="00513613"/>
    <w:rsid w:val="00513A36"/>
    <w:rsid w:val="0053224E"/>
    <w:rsid w:val="00532E33"/>
    <w:rsid w:val="00542B24"/>
    <w:rsid w:val="00543B3A"/>
    <w:rsid w:val="00552187"/>
    <w:rsid w:val="00565E52"/>
    <w:rsid w:val="00567908"/>
    <w:rsid w:val="00595B1D"/>
    <w:rsid w:val="005978EB"/>
    <w:rsid w:val="005A5D31"/>
    <w:rsid w:val="005B3066"/>
    <w:rsid w:val="005C73B9"/>
    <w:rsid w:val="005D054B"/>
    <w:rsid w:val="005D3EEE"/>
    <w:rsid w:val="005E53FB"/>
    <w:rsid w:val="0060385A"/>
    <w:rsid w:val="00610539"/>
    <w:rsid w:val="006139EC"/>
    <w:rsid w:val="006170EB"/>
    <w:rsid w:val="00620334"/>
    <w:rsid w:val="006219E4"/>
    <w:rsid w:val="0062373E"/>
    <w:rsid w:val="00630CD2"/>
    <w:rsid w:val="006469E2"/>
    <w:rsid w:val="006512D1"/>
    <w:rsid w:val="00660E48"/>
    <w:rsid w:val="006709EC"/>
    <w:rsid w:val="00673828"/>
    <w:rsid w:val="00677C3F"/>
    <w:rsid w:val="00677FE9"/>
    <w:rsid w:val="00693602"/>
    <w:rsid w:val="00696CC7"/>
    <w:rsid w:val="006A1A31"/>
    <w:rsid w:val="006A2670"/>
    <w:rsid w:val="006A319A"/>
    <w:rsid w:val="006A558F"/>
    <w:rsid w:val="006A6102"/>
    <w:rsid w:val="006B5114"/>
    <w:rsid w:val="006B5D27"/>
    <w:rsid w:val="006C2CC0"/>
    <w:rsid w:val="006C438B"/>
    <w:rsid w:val="006C7511"/>
    <w:rsid w:val="006D57A0"/>
    <w:rsid w:val="006E25B4"/>
    <w:rsid w:val="006E3998"/>
    <w:rsid w:val="006F5FF9"/>
    <w:rsid w:val="006F7A0B"/>
    <w:rsid w:val="0070224A"/>
    <w:rsid w:val="007162D4"/>
    <w:rsid w:val="0072123E"/>
    <w:rsid w:val="007303F5"/>
    <w:rsid w:val="007336A8"/>
    <w:rsid w:val="007609E9"/>
    <w:rsid w:val="00772EA5"/>
    <w:rsid w:val="00773483"/>
    <w:rsid w:val="007773C6"/>
    <w:rsid w:val="00781E20"/>
    <w:rsid w:val="007837AC"/>
    <w:rsid w:val="007912B2"/>
    <w:rsid w:val="00796DCB"/>
    <w:rsid w:val="007A0E97"/>
    <w:rsid w:val="007A3D46"/>
    <w:rsid w:val="007A4958"/>
    <w:rsid w:val="007A7CA2"/>
    <w:rsid w:val="007B125D"/>
    <w:rsid w:val="007B13C0"/>
    <w:rsid w:val="007B3912"/>
    <w:rsid w:val="007C169A"/>
    <w:rsid w:val="007C1D72"/>
    <w:rsid w:val="007C3B6D"/>
    <w:rsid w:val="007C5B7F"/>
    <w:rsid w:val="007D4090"/>
    <w:rsid w:val="007D4D43"/>
    <w:rsid w:val="007D6653"/>
    <w:rsid w:val="007D719D"/>
    <w:rsid w:val="007E0E4B"/>
    <w:rsid w:val="007E5B65"/>
    <w:rsid w:val="008014FE"/>
    <w:rsid w:val="0081173D"/>
    <w:rsid w:val="00816AAD"/>
    <w:rsid w:val="00816F69"/>
    <w:rsid w:val="00822B8F"/>
    <w:rsid w:val="008306C5"/>
    <w:rsid w:val="00833942"/>
    <w:rsid w:val="00833CCF"/>
    <w:rsid w:val="00840BC9"/>
    <w:rsid w:val="00840CBD"/>
    <w:rsid w:val="008475CB"/>
    <w:rsid w:val="008607D0"/>
    <w:rsid w:val="008626AB"/>
    <w:rsid w:val="0086294D"/>
    <w:rsid w:val="00880C7A"/>
    <w:rsid w:val="00886424"/>
    <w:rsid w:val="00893F76"/>
    <w:rsid w:val="00894344"/>
    <w:rsid w:val="008A68D8"/>
    <w:rsid w:val="008B5D41"/>
    <w:rsid w:val="008C2BFE"/>
    <w:rsid w:val="008C40D8"/>
    <w:rsid w:val="008D25D3"/>
    <w:rsid w:val="008D2EF1"/>
    <w:rsid w:val="008F0ABD"/>
    <w:rsid w:val="008F1A61"/>
    <w:rsid w:val="008F4193"/>
    <w:rsid w:val="00904A25"/>
    <w:rsid w:val="00906328"/>
    <w:rsid w:val="009239BA"/>
    <w:rsid w:val="0094062A"/>
    <w:rsid w:val="00943C8B"/>
    <w:rsid w:val="00955E95"/>
    <w:rsid w:val="009636CD"/>
    <w:rsid w:val="00964E4A"/>
    <w:rsid w:val="00965A59"/>
    <w:rsid w:val="00966BE3"/>
    <w:rsid w:val="00971718"/>
    <w:rsid w:val="00974BB9"/>
    <w:rsid w:val="00983D12"/>
    <w:rsid w:val="00987B73"/>
    <w:rsid w:val="009A1841"/>
    <w:rsid w:val="009A7264"/>
    <w:rsid w:val="009B2745"/>
    <w:rsid w:val="009B4C55"/>
    <w:rsid w:val="009B62F7"/>
    <w:rsid w:val="009C334B"/>
    <w:rsid w:val="009E141C"/>
    <w:rsid w:val="009E4887"/>
    <w:rsid w:val="009E6254"/>
    <w:rsid w:val="009F6884"/>
    <w:rsid w:val="00A003F7"/>
    <w:rsid w:val="00A12320"/>
    <w:rsid w:val="00A158EE"/>
    <w:rsid w:val="00A159B6"/>
    <w:rsid w:val="00A17DA7"/>
    <w:rsid w:val="00A24E07"/>
    <w:rsid w:val="00A30673"/>
    <w:rsid w:val="00A34230"/>
    <w:rsid w:val="00A4138D"/>
    <w:rsid w:val="00A46EC1"/>
    <w:rsid w:val="00A632BD"/>
    <w:rsid w:val="00A73F8A"/>
    <w:rsid w:val="00A77437"/>
    <w:rsid w:val="00A843AD"/>
    <w:rsid w:val="00A8588D"/>
    <w:rsid w:val="00A863F5"/>
    <w:rsid w:val="00A86E27"/>
    <w:rsid w:val="00A90168"/>
    <w:rsid w:val="00A91953"/>
    <w:rsid w:val="00AA7EC4"/>
    <w:rsid w:val="00AC55F7"/>
    <w:rsid w:val="00AD2B62"/>
    <w:rsid w:val="00AD468F"/>
    <w:rsid w:val="00AD72A3"/>
    <w:rsid w:val="00AE0B0E"/>
    <w:rsid w:val="00AE6A89"/>
    <w:rsid w:val="00AF050F"/>
    <w:rsid w:val="00AF1F4F"/>
    <w:rsid w:val="00AF2FC4"/>
    <w:rsid w:val="00AF5AEB"/>
    <w:rsid w:val="00B02BE3"/>
    <w:rsid w:val="00B224F9"/>
    <w:rsid w:val="00B2401B"/>
    <w:rsid w:val="00B32F75"/>
    <w:rsid w:val="00B36C25"/>
    <w:rsid w:val="00B379DD"/>
    <w:rsid w:val="00B4069D"/>
    <w:rsid w:val="00B447BF"/>
    <w:rsid w:val="00B44A37"/>
    <w:rsid w:val="00B52A24"/>
    <w:rsid w:val="00B54FC7"/>
    <w:rsid w:val="00B56F71"/>
    <w:rsid w:val="00B65081"/>
    <w:rsid w:val="00B75C7A"/>
    <w:rsid w:val="00B77AE6"/>
    <w:rsid w:val="00BA0A59"/>
    <w:rsid w:val="00BA1EA8"/>
    <w:rsid w:val="00BA2E08"/>
    <w:rsid w:val="00BA49E8"/>
    <w:rsid w:val="00BA62C6"/>
    <w:rsid w:val="00BB3B9F"/>
    <w:rsid w:val="00BB731F"/>
    <w:rsid w:val="00BC0BB8"/>
    <w:rsid w:val="00BC5351"/>
    <w:rsid w:val="00BC5F1E"/>
    <w:rsid w:val="00BD09B1"/>
    <w:rsid w:val="00BD2A60"/>
    <w:rsid w:val="00BD586D"/>
    <w:rsid w:val="00BD6D9D"/>
    <w:rsid w:val="00BE27EB"/>
    <w:rsid w:val="00BE7F75"/>
    <w:rsid w:val="00BF3835"/>
    <w:rsid w:val="00BF497D"/>
    <w:rsid w:val="00C12170"/>
    <w:rsid w:val="00C20B4F"/>
    <w:rsid w:val="00C215C4"/>
    <w:rsid w:val="00C22078"/>
    <w:rsid w:val="00C32D06"/>
    <w:rsid w:val="00C33950"/>
    <w:rsid w:val="00C410AA"/>
    <w:rsid w:val="00C471D3"/>
    <w:rsid w:val="00C5647B"/>
    <w:rsid w:val="00C57208"/>
    <w:rsid w:val="00C57F25"/>
    <w:rsid w:val="00C6553A"/>
    <w:rsid w:val="00C65744"/>
    <w:rsid w:val="00C711FD"/>
    <w:rsid w:val="00C7323D"/>
    <w:rsid w:val="00C81107"/>
    <w:rsid w:val="00C82646"/>
    <w:rsid w:val="00C87446"/>
    <w:rsid w:val="00C90631"/>
    <w:rsid w:val="00C91041"/>
    <w:rsid w:val="00C96815"/>
    <w:rsid w:val="00C97759"/>
    <w:rsid w:val="00CA2F04"/>
    <w:rsid w:val="00CA461B"/>
    <w:rsid w:val="00CB05A5"/>
    <w:rsid w:val="00CB0E7B"/>
    <w:rsid w:val="00CB2AA9"/>
    <w:rsid w:val="00CB2C61"/>
    <w:rsid w:val="00CB3FA2"/>
    <w:rsid w:val="00CB62A3"/>
    <w:rsid w:val="00CB641F"/>
    <w:rsid w:val="00CC1F19"/>
    <w:rsid w:val="00CC38F6"/>
    <w:rsid w:val="00CD06AD"/>
    <w:rsid w:val="00CD50C2"/>
    <w:rsid w:val="00CD71A4"/>
    <w:rsid w:val="00CE0BC0"/>
    <w:rsid w:val="00CE2A1C"/>
    <w:rsid w:val="00CE42FF"/>
    <w:rsid w:val="00CE6A61"/>
    <w:rsid w:val="00CE6A90"/>
    <w:rsid w:val="00CF5977"/>
    <w:rsid w:val="00D035B5"/>
    <w:rsid w:val="00D12E27"/>
    <w:rsid w:val="00D14D3E"/>
    <w:rsid w:val="00D22706"/>
    <w:rsid w:val="00D41383"/>
    <w:rsid w:val="00D41855"/>
    <w:rsid w:val="00D43F03"/>
    <w:rsid w:val="00D4751F"/>
    <w:rsid w:val="00D53720"/>
    <w:rsid w:val="00D541C4"/>
    <w:rsid w:val="00D6220C"/>
    <w:rsid w:val="00D64B7B"/>
    <w:rsid w:val="00D651F5"/>
    <w:rsid w:val="00D663F3"/>
    <w:rsid w:val="00D710D2"/>
    <w:rsid w:val="00D71AFD"/>
    <w:rsid w:val="00D73BD9"/>
    <w:rsid w:val="00D77E36"/>
    <w:rsid w:val="00D832C1"/>
    <w:rsid w:val="00D8344E"/>
    <w:rsid w:val="00D861C8"/>
    <w:rsid w:val="00D871A4"/>
    <w:rsid w:val="00D87A6F"/>
    <w:rsid w:val="00D9184C"/>
    <w:rsid w:val="00D93160"/>
    <w:rsid w:val="00D9369D"/>
    <w:rsid w:val="00D95E33"/>
    <w:rsid w:val="00DA09C5"/>
    <w:rsid w:val="00DA0CED"/>
    <w:rsid w:val="00DA39DB"/>
    <w:rsid w:val="00DB43BC"/>
    <w:rsid w:val="00DB74A2"/>
    <w:rsid w:val="00DC7E77"/>
    <w:rsid w:val="00DD0D02"/>
    <w:rsid w:val="00DD32A4"/>
    <w:rsid w:val="00DD632A"/>
    <w:rsid w:val="00DE764D"/>
    <w:rsid w:val="00DF0BE7"/>
    <w:rsid w:val="00DF488A"/>
    <w:rsid w:val="00DF7746"/>
    <w:rsid w:val="00E02D35"/>
    <w:rsid w:val="00E04B26"/>
    <w:rsid w:val="00E103E9"/>
    <w:rsid w:val="00E17D67"/>
    <w:rsid w:val="00E22D68"/>
    <w:rsid w:val="00E33C1C"/>
    <w:rsid w:val="00E379BB"/>
    <w:rsid w:val="00E43B12"/>
    <w:rsid w:val="00E46B9F"/>
    <w:rsid w:val="00E500EA"/>
    <w:rsid w:val="00E50C61"/>
    <w:rsid w:val="00E561A4"/>
    <w:rsid w:val="00E5784B"/>
    <w:rsid w:val="00E579DE"/>
    <w:rsid w:val="00E94D6D"/>
    <w:rsid w:val="00E97DBC"/>
    <w:rsid w:val="00EA148D"/>
    <w:rsid w:val="00EA522E"/>
    <w:rsid w:val="00EA6B53"/>
    <w:rsid w:val="00EB0510"/>
    <w:rsid w:val="00EC3B92"/>
    <w:rsid w:val="00EC6E1E"/>
    <w:rsid w:val="00ED20B4"/>
    <w:rsid w:val="00ED55F1"/>
    <w:rsid w:val="00ED6A16"/>
    <w:rsid w:val="00ED6F0B"/>
    <w:rsid w:val="00EE1864"/>
    <w:rsid w:val="00EE3953"/>
    <w:rsid w:val="00EE3975"/>
    <w:rsid w:val="00EE56AB"/>
    <w:rsid w:val="00EF03CA"/>
    <w:rsid w:val="00F225E2"/>
    <w:rsid w:val="00F3117F"/>
    <w:rsid w:val="00F41D38"/>
    <w:rsid w:val="00F57BC4"/>
    <w:rsid w:val="00F81287"/>
    <w:rsid w:val="00F812A5"/>
    <w:rsid w:val="00F81746"/>
    <w:rsid w:val="00F9065A"/>
    <w:rsid w:val="00F92C74"/>
    <w:rsid w:val="00FA2D5B"/>
    <w:rsid w:val="00FB1F05"/>
    <w:rsid w:val="00FB39C8"/>
    <w:rsid w:val="00FB471F"/>
    <w:rsid w:val="00FC0171"/>
    <w:rsid w:val="00FC470C"/>
    <w:rsid w:val="00FC49BF"/>
    <w:rsid w:val="00FC5579"/>
    <w:rsid w:val="00FD206D"/>
    <w:rsid w:val="00FE1689"/>
    <w:rsid w:val="00FE6C68"/>
    <w:rsid w:val="00FF01B1"/>
    <w:rsid w:val="00FF34FC"/>
    <w:rsid w:val="00FF5973"/>
    <w:rsid w:val="00FF734E"/>
    <w:rsid w:val="0E482BC9"/>
    <w:rsid w:val="0FF03BDA"/>
    <w:rsid w:val="20251DEE"/>
    <w:rsid w:val="2EA75D4B"/>
    <w:rsid w:val="39ED1E92"/>
    <w:rsid w:val="42C514C2"/>
    <w:rsid w:val="51CE155D"/>
    <w:rsid w:val="51D56BA4"/>
    <w:rsid w:val="6182398A"/>
    <w:rsid w:val="64042C5B"/>
    <w:rsid w:val="65586C4D"/>
    <w:rsid w:val="6DC23B35"/>
    <w:rsid w:val="734B0EC7"/>
    <w:rsid w:val="7900703B"/>
    <w:rsid w:val="7968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34"/>
    <w:unhideWhenUsed/>
    <w:qFormat/>
    <w:uiPriority w:val="99"/>
    <w:pPr>
      <w:jc w:val="left"/>
    </w:pPr>
  </w:style>
  <w:style w:type="paragraph" w:styleId="3">
    <w:name w:val="Balloon Text"/>
    <w:basedOn w:val="1"/>
    <w:link w:val="33"/>
    <w:qFormat/>
    <w:uiPriority w:val="0"/>
    <w:rPr>
      <w:rFonts w:ascii="Times New Roman" w:hAnsi="Times New Roman"/>
      <w:kern w:val="0"/>
      <w:sz w:val="18"/>
      <w:szCs w:val="18"/>
    </w:rPr>
  </w:style>
  <w:style w:type="paragraph" w:styleId="4">
    <w:name w:val="footer"/>
    <w:basedOn w:val="1"/>
    <w:link w:val="30"/>
    <w:qFormat/>
    <w:uiPriority w:val="0"/>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3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32"/>
    <w:unhideWhenUsed/>
    <w:qFormat/>
    <w:uiPriority w:val="99"/>
    <w:rPr>
      <w:b/>
      <w:bCs/>
    </w:rPr>
  </w:style>
  <w:style w:type="character" w:styleId="10">
    <w:name w:val="Strong"/>
    <w:basedOn w:val="9"/>
    <w:qFormat/>
    <w:uiPriority w:val="0"/>
    <w:rPr>
      <w:b/>
      <w:bCs/>
    </w:rPr>
  </w:style>
  <w:style w:type="character" w:styleId="11">
    <w:name w:val="page number"/>
    <w:basedOn w:val="9"/>
    <w:qFormat/>
    <w:uiPriority w:val="0"/>
    <w:rPr>
      <w:rFonts w:ascii="Times New Roman" w:hAnsi="Times New Roman" w:eastAsia="宋体" w:cs="Times New Roman"/>
    </w:rPr>
  </w:style>
  <w:style w:type="character" w:styleId="12">
    <w:name w:val="annotation reference"/>
    <w:basedOn w:val="9"/>
    <w:unhideWhenUsed/>
    <w:qFormat/>
    <w:uiPriority w:val="99"/>
    <w:rPr>
      <w:sz w:val="21"/>
      <w:szCs w:val="21"/>
    </w:rPr>
  </w:style>
  <w:style w:type="character" w:customStyle="1" w:styleId="13">
    <w:name w:val="页脚 Char"/>
    <w:link w:val="4"/>
    <w:uiPriority w:val="0"/>
    <w:rPr>
      <w:sz w:val="18"/>
      <w:szCs w:val="18"/>
    </w:rPr>
  </w:style>
  <w:style w:type="character" w:customStyle="1" w:styleId="14">
    <w:name w:val="日期 Char"/>
    <w:link w:val="15"/>
    <w:qFormat/>
    <w:uiPriority w:val="0"/>
    <w:rPr>
      <w:rFonts w:ascii="Calibri" w:hAnsi="Calibri"/>
      <w:kern w:val="2"/>
      <w:sz w:val="21"/>
      <w:szCs w:val="22"/>
    </w:rPr>
  </w:style>
  <w:style w:type="paragraph" w:customStyle="1" w:styleId="15">
    <w:name w:val="日期1"/>
    <w:basedOn w:val="1"/>
    <w:next w:val="1"/>
    <w:link w:val="14"/>
    <w:qFormat/>
    <w:uiPriority w:val="0"/>
    <w:pPr>
      <w:ind w:left="100" w:leftChars="2500"/>
    </w:pPr>
  </w:style>
  <w:style w:type="character" w:customStyle="1" w:styleId="16">
    <w:name w:val="日期 字符"/>
    <w:basedOn w:val="9"/>
    <w:link w:val="17"/>
    <w:qFormat/>
    <w:uiPriority w:val="0"/>
  </w:style>
  <w:style w:type="paragraph" w:customStyle="1" w:styleId="17">
    <w:name w:val="日期11"/>
    <w:basedOn w:val="1"/>
    <w:next w:val="1"/>
    <w:link w:val="16"/>
    <w:qFormat/>
    <w:uiPriority w:val="0"/>
    <w:pPr>
      <w:ind w:left="100" w:leftChars="2500"/>
    </w:pPr>
  </w:style>
  <w:style w:type="character" w:customStyle="1" w:styleId="18">
    <w:name w:val="页眉 Char"/>
    <w:link w:val="5"/>
    <w:qFormat/>
    <w:uiPriority w:val="0"/>
    <w:rPr>
      <w:sz w:val="18"/>
      <w:szCs w:val="18"/>
    </w:rPr>
  </w:style>
  <w:style w:type="character" w:customStyle="1" w:styleId="19">
    <w:name w:val="文档结构图 字符"/>
    <w:link w:val="20"/>
    <w:qFormat/>
    <w:uiPriority w:val="0"/>
    <w:rPr>
      <w:rFonts w:ascii="宋体" w:hAnsi="Calibri"/>
      <w:kern w:val="2"/>
      <w:sz w:val="18"/>
      <w:szCs w:val="18"/>
    </w:rPr>
  </w:style>
  <w:style w:type="paragraph" w:customStyle="1" w:styleId="20">
    <w:name w:val="文档结构图11"/>
    <w:basedOn w:val="1"/>
    <w:link w:val="19"/>
    <w:qFormat/>
    <w:uiPriority w:val="0"/>
    <w:rPr>
      <w:rFonts w:ascii="宋体"/>
      <w:sz w:val="18"/>
      <w:szCs w:val="18"/>
    </w:rPr>
  </w:style>
  <w:style w:type="character" w:customStyle="1" w:styleId="21">
    <w:name w:val="文档结构图 Char"/>
    <w:link w:val="22"/>
    <w:qFormat/>
    <w:uiPriority w:val="0"/>
    <w:rPr>
      <w:rFonts w:ascii="宋体" w:hAnsi="Calibri"/>
      <w:kern w:val="2"/>
      <w:sz w:val="18"/>
      <w:szCs w:val="18"/>
    </w:rPr>
  </w:style>
  <w:style w:type="paragraph" w:customStyle="1" w:styleId="22">
    <w:name w:val="文档结构图1"/>
    <w:basedOn w:val="1"/>
    <w:link w:val="21"/>
    <w:qFormat/>
    <w:uiPriority w:val="0"/>
    <w:rPr>
      <w:rFonts w:ascii="宋体"/>
      <w:sz w:val="18"/>
      <w:szCs w:val="18"/>
    </w:rPr>
  </w:style>
  <w:style w:type="character" w:customStyle="1" w:styleId="23">
    <w:name w:val="批注主题 Char"/>
    <w:link w:val="7"/>
    <w:semiHidden/>
    <w:qFormat/>
    <w:uiPriority w:val="99"/>
    <w:rPr>
      <w:rFonts w:ascii="Calibri" w:hAnsi="Calibri"/>
      <w:b/>
      <w:bCs/>
      <w:kern w:val="2"/>
      <w:sz w:val="21"/>
      <w:szCs w:val="22"/>
    </w:rPr>
  </w:style>
  <w:style w:type="character" w:customStyle="1" w:styleId="24">
    <w:name w:val="批注框文本 Char"/>
    <w:link w:val="3"/>
    <w:qFormat/>
    <w:uiPriority w:val="0"/>
    <w:rPr>
      <w:sz w:val="18"/>
      <w:szCs w:val="18"/>
    </w:rPr>
  </w:style>
  <w:style w:type="character" w:customStyle="1" w:styleId="25">
    <w:name w:val="批注文字 Char"/>
    <w:link w:val="2"/>
    <w:semiHidden/>
    <w:qFormat/>
    <w:uiPriority w:val="99"/>
    <w:rPr>
      <w:rFonts w:ascii="Calibri" w:hAnsi="Calibri"/>
      <w:kern w:val="2"/>
      <w:sz w:val="21"/>
      <w:szCs w:val="22"/>
    </w:rPr>
  </w:style>
  <w:style w:type="paragraph" w:customStyle="1" w:styleId="26">
    <w:name w:val="p0"/>
    <w:basedOn w:val="1"/>
    <w:qFormat/>
    <w:uiPriority w:val="0"/>
    <w:pPr>
      <w:widowControl/>
    </w:pPr>
    <w:rPr>
      <w:rFonts w:cs="宋体"/>
      <w:kern w:val="0"/>
      <w:szCs w:val="21"/>
    </w:rPr>
  </w:style>
  <w:style w:type="paragraph" w:customStyle="1" w:styleId="27">
    <w:name w:val="Revision"/>
    <w:semiHidden/>
    <w:qFormat/>
    <w:uiPriority w:val="99"/>
    <w:rPr>
      <w:rFonts w:ascii="Calibri" w:hAnsi="Calibri" w:eastAsia="宋体" w:cs="Times New Roman"/>
      <w:kern w:val="2"/>
      <w:sz w:val="21"/>
      <w:szCs w:val="22"/>
      <w:lang w:val="en-US" w:eastAsia="zh-CN" w:bidi="ar-SA"/>
    </w:rPr>
  </w:style>
  <w:style w:type="paragraph" w:customStyle="1" w:styleId="28">
    <w:name w:val="Char Char Char Char Char Char Char"/>
    <w:basedOn w:val="1"/>
    <w:qFormat/>
    <w:uiPriority w:val="0"/>
    <w:rPr>
      <w:rFonts w:ascii="Tahoma" w:hAnsi="Tahoma"/>
      <w:sz w:val="24"/>
      <w:szCs w:val="32"/>
    </w:rPr>
  </w:style>
  <w:style w:type="paragraph" w:customStyle="1" w:styleId="29">
    <w:name w:val="Revision1"/>
    <w:semiHidden/>
    <w:qFormat/>
    <w:uiPriority w:val="0"/>
    <w:rPr>
      <w:rFonts w:ascii="Calibri" w:hAnsi="Calibri" w:eastAsia="宋体" w:cs="Times New Roman"/>
      <w:kern w:val="2"/>
      <w:sz w:val="21"/>
      <w:szCs w:val="22"/>
      <w:lang w:val="en-US" w:eastAsia="zh-CN" w:bidi="ar-SA"/>
    </w:rPr>
  </w:style>
  <w:style w:type="character" w:customStyle="1" w:styleId="30">
    <w:name w:val="Footer Char"/>
    <w:link w:val="4"/>
    <w:qFormat/>
    <w:uiPriority w:val="0"/>
    <w:rPr>
      <w:rFonts w:ascii="Times New Roman" w:hAnsi="Times New Roman" w:eastAsia="宋体" w:cs="Times New Roman"/>
      <w:sz w:val="18"/>
    </w:rPr>
  </w:style>
  <w:style w:type="character" w:customStyle="1" w:styleId="31">
    <w:name w:val="Header Char"/>
    <w:link w:val="5"/>
    <w:qFormat/>
    <w:uiPriority w:val="0"/>
    <w:rPr>
      <w:rFonts w:ascii="Times New Roman" w:hAnsi="Times New Roman" w:eastAsia="宋体" w:cs="Times New Roman"/>
      <w:sz w:val="18"/>
    </w:rPr>
  </w:style>
  <w:style w:type="character" w:customStyle="1" w:styleId="32">
    <w:name w:val="Comment Subject Char"/>
    <w:link w:val="7"/>
    <w:semiHidden/>
    <w:qFormat/>
    <w:uiPriority w:val="0"/>
    <w:rPr>
      <w:rFonts w:ascii="Calibri" w:hAnsi="Calibri" w:eastAsia="宋体" w:cs="Times New Roman"/>
      <w:b/>
      <w:kern w:val="2"/>
      <w:sz w:val="22"/>
    </w:rPr>
  </w:style>
  <w:style w:type="character" w:customStyle="1" w:styleId="33">
    <w:name w:val="Balloon Text Char"/>
    <w:link w:val="3"/>
    <w:qFormat/>
    <w:uiPriority w:val="0"/>
    <w:rPr>
      <w:rFonts w:ascii="Times New Roman" w:hAnsi="Times New Roman" w:eastAsia="宋体" w:cs="Times New Roman"/>
      <w:sz w:val="18"/>
    </w:rPr>
  </w:style>
  <w:style w:type="character" w:customStyle="1" w:styleId="34">
    <w:name w:val="Comment Text Char"/>
    <w:link w:val="2"/>
    <w:semiHidden/>
    <w:uiPriority w:val="0"/>
    <w:rPr>
      <w:rFonts w:ascii="Calibri" w:hAnsi="Calibri" w:eastAsia="宋体" w:cs="Times New Roman"/>
      <w:kern w:val="2"/>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9E066-E228-4C65-BA3F-D7851C496FAD}">
  <ds:schemaRefs/>
</ds:datastoreItem>
</file>

<file path=docProps/app.xml><?xml version="1.0" encoding="utf-8"?>
<Properties xmlns="http://schemas.openxmlformats.org/officeDocument/2006/extended-properties" xmlns:vt="http://schemas.openxmlformats.org/officeDocument/2006/docPropsVTypes">
  <Template>wdzx97.dot</Template>
  <Pages>1</Pages>
  <Words>1062</Words>
  <Characters>6057</Characters>
  <Lines>50</Lines>
  <Paragraphs>14</Paragraphs>
  <TotalTime>2</TotalTime>
  <ScaleCrop>false</ScaleCrop>
  <LinksUpToDate>false</LinksUpToDate>
  <CharactersWithSpaces>7105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2019-08-20T03:40:00Z</dcterms:created>
  <dc:creator>www</dc:creator>
  <cp:lastModifiedBy>tangjinlan</cp:lastModifiedBy>
  <cp:lastPrinted>2019-08-21T05:43:00Z</cp:lastPrinted>
  <dcterms:modified xsi:type="dcterms:W3CDTF">2019-09-02T08:15:49Z</dcterms:modified>
  <dc:title>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